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6FA2A" w14:textId="15292EC2" w:rsidR="00C4679E" w:rsidRPr="00060D01" w:rsidRDefault="00C4679E" w:rsidP="00941D3F">
      <w:pPr>
        <w:pStyle w:val="Heading1"/>
        <w:rPr>
          <w:w w:val="110"/>
          <w:lang w:val="en-GB"/>
        </w:rPr>
      </w:pPr>
      <w:r w:rsidRPr="00060D01">
        <w:rPr>
          <w:w w:val="110"/>
          <w:lang w:val="en-GB"/>
        </w:rPr>
        <w:t>Policy Options for Connecting and Enabling the Next Billion</w:t>
      </w:r>
    </w:p>
    <w:p w14:paraId="67F372A9" w14:textId="77777777" w:rsidR="00F65C2F" w:rsidRPr="00060D01" w:rsidRDefault="00F65C2F" w:rsidP="00F65C2F">
      <w:pPr>
        <w:rPr>
          <w:lang w:val="en-GB"/>
        </w:rPr>
      </w:pPr>
    </w:p>
    <w:tbl>
      <w:tblPr>
        <w:tblStyle w:val="TableGrid"/>
        <w:tblW w:w="0" w:type="auto"/>
        <w:tblBorders>
          <w:insideH w:val="none" w:sz="0" w:space="0" w:color="auto"/>
          <w:insideV w:val="none" w:sz="0" w:space="0" w:color="auto"/>
        </w:tblBorders>
        <w:shd w:val="clear" w:color="auto" w:fill="E1F3D6" w:themeFill="accent2" w:themeFillTint="33"/>
        <w:tblLook w:val="04A0" w:firstRow="1" w:lastRow="0" w:firstColumn="1" w:lastColumn="0" w:noHBand="0" w:noVBand="1"/>
      </w:tblPr>
      <w:tblGrid>
        <w:gridCol w:w="10528"/>
      </w:tblGrid>
      <w:tr w:rsidR="009E277F" w:rsidRPr="00EC5C45" w14:paraId="52591129" w14:textId="77777777" w:rsidTr="009E277F">
        <w:tc>
          <w:tcPr>
            <w:tcW w:w="10528" w:type="dxa"/>
            <w:shd w:val="clear" w:color="auto" w:fill="E1F3D6" w:themeFill="accent2" w:themeFillTint="33"/>
          </w:tcPr>
          <w:p w14:paraId="2926D8D4" w14:textId="77777777" w:rsidR="009E277F" w:rsidRPr="00060D01" w:rsidRDefault="009E277F" w:rsidP="00DD789B">
            <w:pPr>
              <w:pStyle w:val="Heading3"/>
              <w:outlineLvl w:val="2"/>
              <w:rPr>
                <w:lang w:val="en-GB"/>
              </w:rPr>
            </w:pPr>
            <w:r w:rsidRPr="00060D01">
              <w:rPr>
                <w:lang w:val="en-GB"/>
              </w:rPr>
              <w:t>Summary</w:t>
            </w:r>
          </w:p>
        </w:tc>
      </w:tr>
      <w:tr w:rsidR="009E277F" w:rsidRPr="00EC5C45" w14:paraId="5B24BE22" w14:textId="77777777" w:rsidTr="009E277F">
        <w:tc>
          <w:tcPr>
            <w:tcW w:w="10528" w:type="dxa"/>
            <w:shd w:val="clear" w:color="auto" w:fill="E1F3D6" w:themeFill="accent2" w:themeFillTint="33"/>
          </w:tcPr>
          <w:p w14:paraId="3DF42B0F" w14:textId="0C8F3561" w:rsidR="009E277F" w:rsidRPr="00060D01" w:rsidRDefault="009E277F" w:rsidP="008023F7">
            <w:pPr>
              <w:pStyle w:val="Text"/>
              <w:rPr>
                <w:color w:val="auto"/>
                <w:lang w:val="en-GB"/>
              </w:rPr>
            </w:pPr>
            <w:r w:rsidRPr="00060D01">
              <w:rPr>
                <w:color w:val="auto"/>
                <w:lang w:val="en-GB"/>
              </w:rPr>
              <w:t xml:space="preserve">The main policy options </w:t>
            </w:r>
            <w:r w:rsidR="00692FB6" w:rsidRPr="00060D01">
              <w:rPr>
                <w:color w:val="auto"/>
                <w:lang w:val="en-GB"/>
              </w:rPr>
              <w:t xml:space="preserve">proposed </w:t>
            </w:r>
            <w:r w:rsidRPr="00060D01">
              <w:rPr>
                <w:color w:val="auto"/>
                <w:lang w:val="en-GB"/>
              </w:rPr>
              <w:t>by the Dynamic Coalition o</w:t>
            </w:r>
            <w:r w:rsidR="00692FB6" w:rsidRPr="00060D01">
              <w:rPr>
                <w:color w:val="auto"/>
                <w:lang w:val="en-GB"/>
              </w:rPr>
              <w:t>n</w:t>
            </w:r>
            <w:r w:rsidRPr="00060D01">
              <w:rPr>
                <w:color w:val="auto"/>
                <w:lang w:val="en-GB"/>
              </w:rPr>
              <w:t xml:space="preserve"> Public Access in Libraries (DC-PAL) </w:t>
            </w:r>
            <w:r w:rsidR="004C6B0E" w:rsidRPr="00060D01">
              <w:rPr>
                <w:color w:val="auto"/>
                <w:lang w:val="en-GB"/>
              </w:rPr>
              <w:t xml:space="preserve">address the issues of </w:t>
            </w:r>
            <w:r w:rsidRPr="00060D01">
              <w:rPr>
                <w:i/>
                <w:color w:val="auto"/>
                <w:lang w:val="en-GB"/>
              </w:rPr>
              <w:t>access to Internet infrastructure</w:t>
            </w:r>
            <w:r w:rsidRPr="00060D01">
              <w:rPr>
                <w:color w:val="auto"/>
                <w:lang w:val="en-GB"/>
              </w:rPr>
              <w:t xml:space="preserve"> and </w:t>
            </w:r>
            <w:r w:rsidRPr="00060D01">
              <w:rPr>
                <w:i/>
                <w:color w:val="auto"/>
                <w:lang w:val="en-GB"/>
              </w:rPr>
              <w:t>access to knowledge on how to use the Internet infrastructure</w:t>
            </w:r>
            <w:r w:rsidRPr="00060D01">
              <w:rPr>
                <w:color w:val="auto"/>
                <w:lang w:val="en-GB"/>
              </w:rPr>
              <w:t xml:space="preserve">. While the stated goal </w:t>
            </w:r>
            <w:r w:rsidR="008023F7" w:rsidRPr="00060D01">
              <w:rPr>
                <w:color w:val="auto"/>
                <w:lang w:val="en-GB"/>
              </w:rPr>
              <w:t xml:space="preserve">of physically </w:t>
            </w:r>
            <w:r w:rsidRPr="00060D01">
              <w:rPr>
                <w:color w:val="auto"/>
                <w:lang w:val="en-GB"/>
              </w:rPr>
              <w:t>connect</w:t>
            </w:r>
            <w:r w:rsidR="008023F7" w:rsidRPr="00060D01">
              <w:rPr>
                <w:color w:val="auto"/>
                <w:lang w:val="en-GB"/>
              </w:rPr>
              <w:t>ing</w:t>
            </w:r>
            <w:r w:rsidRPr="00060D01">
              <w:rPr>
                <w:color w:val="auto"/>
                <w:lang w:val="en-GB"/>
              </w:rPr>
              <w:t xml:space="preserve"> the next billion can be achieved by using libraries as community hubs – both for information and communication technology (ICT) hardware and to provide wireless Internet connection (Wi-Fi) – libraries also contribute greatly to enabling the new users </w:t>
            </w:r>
            <w:r w:rsidR="004C6B0E" w:rsidRPr="00060D01">
              <w:rPr>
                <w:color w:val="auto"/>
                <w:lang w:val="en-GB"/>
              </w:rPr>
              <w:t xml:space="preserve">to benefit from the Internet, </w:t>
            </w:r>
            <w:r w:rsidRPr="00060D01">
              <w:rPr>
                <w:color w:val="auto"/>
                <w:lang w:val="en-GB"/>
              </w:rPr>
              <w:t xml:space="preserve">through the skills and expertise of </w:t>
            </w:r>
            <w:r w:rsidR="008023F7" w:rsidRPr="00060D01">
              <w:rPr>
                <w:color w:val="auto"/>
                <w:lang w:val="en-GB"/>
              </w:rPr>
              <w:t xml:space="preserve">the </w:t>
            </w:r>
            <w:r w:rsidRPr="00060D01">
              <w:rPr>
                <w:color w:val="auto"/>
                <w:lang w:val="en-GB"/>
              </w:rPr>
              <w:t xml:space="preserve">librarians and information professionals who work </w:t>
            </w:r>
            <w:r w:rsidR="004C6B0E" w:rsidRPr="00060D01">
              <w:rPr>
                <w:color w:val="auto"/>
                <w:lang w:val="en-GB"/>
              </w:rPr>
              <w:t>there</w:t>
            </w:r>
            <w:r w:rsidRPr="00060D01">
              <w:rPr>
                <w:color w:val="auto"/>
                <w:lang w:val="en-GB"/>
              </w:rPr>
              <w:t>. These people are key resources for teaching media and information literacy to new users.</w:t>
            </w:r>
          </w:p>
        </w:tc>
      </w:tr>
    </w:tbl>
    <w:p w14:paraId="11B8B8E5" w14:textId="3595F1C2" w:rsidR="0024682E" w:rsidRPr="00060D01" w:rsidRDefault="00C4679E" w:rsidP="00941D3F">
      <w:pPr>
        <w:pStyle w:val="Heading3"/>
        <w:rPr>
          <w:lang w:val="en-GB"/>
        </w:rPr>
      </w:pPr>
      <w:r w:rsidRPr="00060D01">
        <w:rPr>
          <w:lang w:val="en-GB"/>
        </w:rPr>
        <w:t xml:space="preserve">Defining </w:t>
      </w:r>
      <w:r w:rsidR="00E72376" w:rsidRPr="00060D01">
        <w:rPr>
          <w:lang w:val="en-GB"/>
        </w:rPr>
        <w:t>“</w:t>
      </w:r>
      <w:r w:rsidR="00E72376" w:rsidRPr="00060D01">
        <w:rPr>
          <w:rStyle w:val="eop"/>
          <w:rFonts w:cs="Segoe UI"/>
          <w:i/>
          <w:lang w:val="en-GB"/>
        </w:rPr>
        <w:t>C</w:t>
      </w:r>
      <w:r w:rsidR="00E72376" w:rsidRPr="00EC5C45">
        <w:rPr>
          <w:rStyle w:val="eop"/>
          <w:rFonts w:cs="Segoe UI"/>
          <w:i/>
          <w:lang w:val="en-GB"/>
        </w:rPr>
        <w:t>onnecting and Enabling the Next Billion</w:t>
      </w:r>
      <w:r w:rsidR="00E72376" w:rsidRPr="00EC5C45">
        <w:rPr>
          <w:rStyle w:val="eop"/>
          <w:rFonts w:cs="Segoe UI"/>
          <w:lang w:val="en-GB"/>
        </w:rPr>
        <w:t>”</w:t>
      </w:r>
    </w:p>
    <w:p w14:paraId="7699D3F9" w14:textId="02030C9B" w:rsidR="0031140C" w:rsidRPr="00060D01" w:rsidRDefault="0031140C" w:rsidP="00941D3F">
      <w:pPr>
        <w:pStyle w:val="Text"/>
        <w:rPr>
          <w:rStyle w:val="eop"/>
          <w:rFonts w:eastAsiaTheme="majorEastAsia" w:cs="Segoe UI"/>
          <w:color w:val="auto"/>
          <w:lang w:val="en-GB"/>
        </w:rPr>
      </w:pPr>
      <w:r w:rsidRPr="00060D01">
        <w:rPr>
          <w:rStyle w:val="eop"/>
          <w:rFonts w:eastAsiaTheme="majorEastAsia" w:cs="Segoe UI"/>
          <w:i/>
          <w:color w:val="auto"/>
          <w:lang w:val="en-GB"/>
        </w:rPr>
        <w:t>C</w:t>
      </w:r>
      <w:r w:rsidRPr="00EC5C45">
        <w:rPr>
          <w:rStyle w:val="eop"/>
          <w:rFonts w:eastAsiaTheme="majorEastAsia" w:cs="Segoe UI"/>
          <w:i/>
          <w:color w:val="auto"/>
          <w:lang w:val="en-GB"/>
        </w:rPr>
        <w:t>onnecting and Enabling the Nex</w:t>
      </w:r>
      <w:bookmarkStart w:id="0" w:name="_GoBack"/>
      <w:bookmarkEnd w:id="0"/>
      <w:r w:rsidRPr="00EC5C45">
        <w:rPr>
          <w:rStyle w:val="eop"/>
          <w:rFonts w:eastAsiaTheme="majorEastAsia" w:cs="Segoe UI"/>
          <w:i/>
          <w:color w:val="auto"/>
          <w:lang w:val="en-GB"/>
        </w:rPr>
        <w:t>t Billion</w:t>
      </w:r>
      <w:r w:rsidR="008023F7" w:rsidRPr="00EC5C45">
        <w:rPr>
          <w:rStyle w:val="eop"/>
          <w:rFonts w:eastAsiaTheme="majorEastAsia" w:cs="Segoe UI"/>
          <w:i/>
          <w:color w:val="auto"/>
          <w:lang w:val="en-GB"/>
        </w:rPr>
        <w:t xml:space="preserve"> </w:t>
      </w:r>
      <w:r w:rsidR="008023F7" w:rsidRPr="00060D01">
        <w:rPr>
          <w:rStyle w:val="eop"/>
          <w:rFonts w:eastAsiaTheme="majorEastAsia" w:cs="Segoe UI"/>
          <w:color w:val="auto"/>
          <w:lang w:val="en-GB"/>
        </w:rPr>
        <w:t>seeks to enable</w:t>
      </w:r>
      <w:r w:rsidRPr="00EC5C45">
        <w:rPr>
          <w:rStyle w:val="eop"/>
          <w:rFonts w:eastAsiaTheme="majorEastAsia" w:cs="Segoe UI"/>
          <w:color w:val="auto"/>
          <w:lang w:val="en-GB"/>
        </w:rPr>
        <w:t xml:space="preserve"> citizens to take part fully in the global and local </w:t>
      </w:r>
      <w:r w:rsidR="004C6B0E" w:rsidRPr="00EC5C45">
        <w:rPr>
          <w:rStyle w:val="eop"/>
          <w:rFonts w:eastAsiaTheme="majorEastAsia" w:cs="Segoe UI"/>
          <w:color w:val="auto"/>
          <w:lang w:val="en-GB"/>
        </w:rPr>
        <w:t xml:space="preserve">information </w:t>
      </w:r>
      <w:r w:rsidRPr="00EC5C45">
        <w:rPr>
          <w:rStyle w:val="eop"/>
          <w:rFonts w:eastAsiaTheme="majorEastAsia" w:cs="Segoe UI"/>
          <w:color w:val="auto"/>
          <w:lang w:val="en-GB"/>
        </w:rPr>
        <w:t xml:space="preserve">society. We live in an increasingly globalised world, and it is reasonable that </w:t>
      </w:r>
      <w:r w:rsidR="008023F7" w:rsidRPr="00EC5C45">
        <w:rPr>
          <w:rStyle w:val="eop"/>
          <w:rFonts w:eastAsiaTheme="majorEastAsia" w:cs="Segoe UI"/>
          <w:color w:val="auto"/>
          <w:lang w:val="en-GB"/>
        </w:rPr>
        <w:t xml:space="preserve">all </w:t>
      </w:r>
      <w:r w:rsidRPr="00EC5C45">
        <w:rPr>
          <w:rStyle w:val="eop"/>
          <w:rFonts w:eastAsiaTheme="majorEastAsia" w:cs="Segoe UI"/>
          <w:color w:val="auto"/>
          <w:lang w:val="en-GB"/>
        </w:rPr>
        <w:t xml:space="preserve">citizens should be able to </w:t>
      </w:r>
      <w:r w:rsidR="004C6B0E" w:rsidRPr="00EC5C45">
        <w:rPr>
          <w:rStyle w:val="eop"/>
          <w:rFonts w:eastAsiaTheme="majorEastAsia" w:cs="Segoe UI"/>
          <w:color w:val="auto"/>
          <w:lang w:val="en-GB"/>
        </w:rPr>
        <w:t>participate</w:t>
      </w:r>
      <w:r w:rsidRPr="00EC5C45">
        <w:rPr>
          <w:rStyle w:val="eop"/>
          <w:rFonts w:eastAsiaTheme="majorEastAsia" w:cs="Segoe UI"/>
          <w:color w:val="auto"/>
          <w:lang w:val="en-GB"/>
        </w:rPr>
        <w:t xml:space="preserve">. Access to an open </w:t>
      </w:r>
      <w:r w:rsidR="0069201A" w:rsidRPr="00EC5C45">
        <w:rPr>
          <w:rStyle w:val="eop"/>
          <w:rFonts w:eastAsiaTheme="majorEastAsia" w:cs="Segoe UI"/>
          <w:color w:val="auto"/>
          <w:lang w:val="en-GB"/>
        </w:rPr>
        <w:t>Internet</w:t>
      </w:r>
      <w:r w:rsidRPr="00EC5C45">
        <w:rPr>
          <w:rStyle w:val="eop"/>
          <w:rFonts w:eastAsiaTheme="majorEastAsia" w:cs="Segoe UI"/>
          <w:color w:val="auto"/>
          <w:lang w:val="en-GB"/>
        </w:rPr>
        <w:t xml:space="preserve"> is a simple </w:t>
      </w:r>
      <w:r w:rsidR="004C6B0E" w:rsidRPr="00EC5C45">
        <w:rPr>
          <w:rStyle w:val="eop"/>
          <w:rFonts w:eastAsiaTheme="majorEastAsia" w:cs="Segoe UI"/>
          <w:color w:val="auto"/>
          <w:lang w:val="en-GB"/>
        </w:rPr>
        <w:t>means of achieving this</w:t>
      </w:r>
      <w:r w:rsidRPr="00EC5C45">
        <w:rPr>
          <w:rStyle w:val="eop"/>
          <w:rFonts w:eastAsiaTheme="majorEastAsia" w:cs="Segoe UI"/>
          <w:color w:val="auto"/>
          <w:lang w:val="en-GB"/>
        </w:rPr>
        <w:t xml:space="preserve"> since it provides information and knowledge as well as </w:t>
      </w:r>
      <w:r w:rsidR="006A5C5A" w:rsidRPr="00EC5C45">
        <w:rPr>
          <w:rStyle w:val="eop"/>
          <w:rFonts w:eastAsiaTheme="majorEastAsia" w:cs="Segoe UI"/>
          <w:color w:val="auto"/>
          <w:lang w:val="en-GB"/>
        </w:rPr>
        <w:t xml:space="preserve">a </w:t>
      </w:r>
      <w:r w:rsidRPr="00EC5C45">
        <w:rPr>
          <w:rStyle w:val="eop"/>
          <w:rFonts w:eastAsiaTheme="majorEastAsia" w:cs="Segoe UI"/>
          <w:color w:val="auto"/>
          <w:lang w:val="en-GB"/>
        </w:rPr>
        <w:t>tool for communicating citizen feedback to policy</w:t>
      </w:r>
      <w:r w:rsidR="004C6B0E" w:rsidRPr="00EC5C45">
        <w:rPr>
          <w:rStyle w:val="eop"/>
          <w:rFonts w:eastAsiaTheme="majorEastAsia" w:cs="Segoe UI"/>
          <w:color w:val="auto"/>
          <w:lang w:val="en-GB"/>
        </w:rPr>
        <w:t>-</w:t>
      </w:r>
      <w:r w:rsidRPr="00EC5C45">
        <w:rPr>
          <w:rStyle w:val="eop"/>
          <w:rFonts w:eastAsiaTheme="majorEastAsia" w:cs="Segoe UI"/>
          <w:color w:val="auto"/>
          <w:lang w:val="en-GB"/>
        </w:rPr>
        <w:t>makers.</w:t>
      </w:r>
    </w:p>
    <w:p w14:paraId="0665ECCC" w14:textId="1627A45E" w:rsidR="00563068" w:rsidRPr="00EC5C45" w:rsidRDefault="00F1087F" w:rsidP="00F1087F">
      <w:pPr>
        <w:pStyle w:val="Text"/>
        <w:rPr>
          <w:color w:val="auto"/>
          <w:lang w:val="en-GB"/>
        </w:rPr>
      </w:pPr>
      <w:r w:rsidRPr="00EC5C45">
        <w:rPr>
          <w:rStyle w:val="eop"/>
          <w:rFonts w:eastAsiaTheme="majorEastAsia" w:cs="Segoe UI"/>
          <w:color w:val="auto"/>
          <w:lang w:val="en-GB"/>
        </w:rPr>
        <w:t>As public access already is</w:t>
      </w:r>
      <w:r w:rsidR="008023F7" w:rsidRPr="00EC5C45">
        <w:rPr>
          <w:rStyle w:val="eop"/>
          <w:rFonts w:eastAsiaTheme="majorEastAsia" w:cs="Segoe UI"/>
          <w:color w:val="auto"/>
          <w:lang w:val="en-GB"/>
        </w:rPr>
        <w:t xml:space="preserve"> </w:t>
      </w:r>
      <w:r w:rsidRPr="00EC5C45">
        <w:rPr>
          <w:rStyle w:val="eop"/>
          <w:rFonts w:eastAsiaTheme="majorEastAsia" w:cs="Segoe UI"/>
          <w:color w:val="auto"/>
          <w:lang w:val="en-GB"/>
        </w:rPr>
        <w:t>provided by libraries</w:t>
      </w:r>
      <w:r w:rsidR="008023F7" w:rsidRPr="00EC5C45">
        <w:rPr>
          <w:rStyle w:val="eop"/>
          <w:rFonts w:eastAsiaTheme="majorEastAsia" w:cs="Segoe UI"/>
          <w:color w:val="auto"/>
          <w:lang w:val="en-GB"/>
        </w:rPr>
        <w:t xml:space="preserve"> across the world</w:t>
      </w:r>
      <w:r w:rsidRPr="00EC5C45">
        <w:rPr>
          <w:rStyle w:val="eop"/>
          <w:rFonts w:eastAsiaTheme="majorEastAsia" w:cs="Segoe UI"/>
          <w:color w:val="auto"/>
          <w:lang w:val="en-GB"/>
        </w:rPr>
        <w:t xml:space="preserve">, they should be seen as </w:t>
      </w:r>
      <w:r w:rsidR="004C6B0E" w:rsidRPr="00EC5C45">
        <w:rPr>
          <w:rStyle w:val="eop"/>
          <w:rFonts w:eastAsiaTheme="majorEastAsia" w:cs="Segoe UI"/>
          <w:color w:val="auto"/>
          <w:lang w:val="en-GB"/>
        </w:rPr>
        <w:t xml:space="preserve">obvious </w:t>
      </w:r>
      <w:r w:rsidRPr="00EC5C45">
        <w:rPr>
          <w:rStyle w:val="eop"/>
          <w:rFonts w:eastAsiaTheme="majorEastAsia" w:cs="Segoe UI"/>
          <w:color w:val="auto"/>
          <w:lang w:val="en-GB"/>
        </w:rPr>
        <w:t>partners in connecting the next billion.</w:t>
      </w:r>
    </w:p>
    <w:p w14:paraId="77176013" w14:textId="24C0EEC4" w:rsidR="004D7D32" w:rsidRPr="00EC5C45" w:rsidRDefault="004D7D32" w:rsidP="00941D3F">
      <w:pPr>
        <w:pStyle w:val="Text"/>
        <w:rPr>
          <w:color w:val="auto"/>
          <w:lang w:val="en-GB"/>
        </w:rPr>
      </w:pPr>
      <w:r w:rsidRPr="00EC5C45">
        <w:rPr>
          <w:color w:val="auto"/>
          <w:lang w:val="en-GB"/>
        </w:rPr>
        <w:t xml:space="preserve">To participate </w:t>
      </w:r>
      <w:r w:rsidR="004C6B0E" w:rsidRPr="00EC5C45">
        <w:rPr>
          <w:color w:val="auto"/>
          <w:lang w:val="en-GB"/>
        </w:rPr>
        <w:t xml:space="preserve">fully </w:t>
      </w:r>
      <w:r w:rsidRPr="00EC5C45">
        <w:rPr>
          <w:color w:val="auto"/>
          <w:lang w:val="en-GB"/>
        </w:rPr>
        <w:t xml:space="preserve">in a digital world, </w:t>
      </w:r>
      <w:r w:rsidR="004C6B0E" w:rsidRPr="00EC5C45">
        <w:rPr>
          <w:color w:val="auto"/>
          <w:lang w:val="en-GB"/>
        </w:rPr>
        <w:t xml:space="preserve">people need to have meaningful access. For this, they </w:t>
      </w:r>
      <w:r w:rsidRPr="00EC5C45">
        <w:rPr>
          <w:color w:val="auto"/>
          <w:lang w:val="en-GB"/>
        </w:rPr>
        <w:t xml:space="preserve">need not only the capability to consume </w:t>
      </w:r>
      <w:r w:rsidR="00B86922" w:rsidRPr="00EC5C45">
        <w:rPr>
          <w:color w:val="auto"/>
          <w:lang w:val="en-GB"/>
        </w:rPr>
        <w:t xml:space="preserve">and </w:t>
      </w:r>
      <w:r w:rsidR="008023F7" w:rsidRPr="00EC5C45">
        <w:rPr>
          <w:color w:val="auto"/>
          <w:lang w:val="en-GB"/>
        </w:rPr>
        <w:t xml:space="preserve">interpret </w:t>
      </w:r>
      <w:r w:rsidRPr="00EC5C45">
        <w:rPr>
          <w:color w:val="auto"/>
          <w:lang w:val="en-GB"/>
        </w:rPr>
        <w:t>various media types from a wide array of sources, but also the tools and skills to produce content</w:t>
      </w:r>
      <w:r w:rsidR="008023F7" w:rsidRPr="00EC5C45">
        <w:rPr>
          <w:color w:val="auto"/>
          <w:lang w:val="en-GB"/>
        </w:rPr>
        <w:t xml:space="preserve"> themselves</w:t>
      </w:r>
      <w:r w:rsidRPr="00EC5C45">
        <w:rPr>
          <w:color w:val="auto"/>
          <w:lang w:val="en-GB"/>
        </w:rPr>
        <w:t>.</w:t>
      </w:r>
      <w:r w:rsidR="00CD6A9B" w:rsidRPr="00EC5C45">
        <w:rPr>
          <w:color w:val="auto"/>
          <w:lang w:val="en-GB"/>
        </w:rPr>
        <w:t xml:space="preserve"> While online companies invest heavily in </w:t>
      </w:r>
      <w:r w:rsidR="004C6B0E" w:rsidRPr="00EC5C45">
        <w:rPr>
          <w:color w:val="auto"/>
          <w:lang w:val="en-GB"/>
        </w:rPr>
        <w:t>mobile-</w:t>
      </w:r>
      <w:r w:rsidR="00CD6A9B" w:rsidRPr="00EC5C45">
        <w:rPr>
          <w:color w:val="auto"/>
          <w:lang w:val="en-GB"/>
        </w:rPr>
        <w:t>friendly formats, it is still difficult to create a two-page document with a simple graphic element on a smart phone, meaning everyday actions such as doing homework or sending in a CV and job applica</w:t>
      </w:r>
      <w:r w:rsidR="003F472C" w:rsidRPr="00EC5C45">
        <w:rPr>
          <w:color w:val="auto"/>
          <w:lang w:val="en-GB"/>
        </w:rPr>
        <w:t xml:space="preserve">tion </w:t>
      </w:r>
      <w:r w:rsidR="004C6B0E" w:rsidRPr="00EC5C45">
        <w:rPr>
          <w:color w:val="auto"/>
          <w:lang w:val="en-GB"/>
        </w:rPr>
        <w:t>are</w:t>
      </w:r>
      <w:r w:rsidR="003F472C" w:rsidRPr="00EC5C45">
        <w:rPr>
          <w:color w:val="auto"/>
          <w:lang w:val="en-GB"/>
        </w:rPr>
        <w:t xml:space="preserve"> hard to accomplish. </w:t>
      </w:r>
      <w:r w:rsidRPr="00EC5C45">
        <w:rPr>
          <w:color w:val="auto"/>
          <w:lang w:val="en-GB"/>
        </w:rPr>
        <w:t xml:space="preserve">Online forms are </w:t>
      </w:r>
      <w:r w:rsidR="00060D01">
        <w:rPr>
          <w:color w:val="auto"/>
          <w:lang w:val="en-GB"/>
        </w:rPr>
        <w:t>often not formatted for use on</w:t>
      </w:r>
      <w:r w:rsidRPr="00EC5C45">
        <w:rPr>
          <w:color w:val="auto"/>
          <w:lang w:val="en-GB"/>
        </w:rPr>
        <w:t xml:space="preserve"> phones and many tablets. </w:t>
      </w:r>
      <w:r w:rsidR="008023F7" w:rsidRPr="00EC5C45">
        <w:rPr>
          <w:color w:val="auto"/>
          <w:lang w:val="en-GB"/>
        </w:rPr>
        <w:t>Access to the right hardware remains essential.</w:t>
      </w:r>
    </w:p>
    <w:p w14:paraId="0F3A12F9" w14:textId="77777777" w:rsidR="0031140C" w:rsidRPr="00060D01" w:rsidRDefault="0031140C" w:rsidP="00941D3F">
      <w:pPr>
        <w:pStyle w:val="Heading3"/>
        <w:rPr>
          <w:rStyle w:val="eop"/>
          <w:rFonts w:cs="Segoe UI"/>
          <w:lang w:val="en-GB"/>
        </w:rPr>
      </w:pPr>
      <w:r w:rsidRPr="00EC5C45">
        <w:rPr>
          <w:rStyle w:val="eop"/>
          <w:rFonts w:cs="Segoe UI"/>
          <w:lang w:val="en-GB"/>
        </w:rPr>
        <w:t>Factors to consider for local policy makers</w:t>
      </w:r>
    </w:p>
    <w:p w14:paraId="41F68B29" w14:textId="48CB66F6" w:rsidR="0031140C" w:rsidRPr="00060D01" w:rsidRDefault="00E054E4" w:rsidP="00E054E4">
      <w:pPr>
        <w:pStyle w:val="Text"/>
        <w:rPr>
          <w:rStyle w:val="eop"/>
          <w:rFonts w:eastAsiaTheme="minorHAnsi" w:cstheme="minorBidi"/>
          <w:color w:val="auto"/>
          <w:lang w:val="en-GB"/>
        </w:rPr>
      </w:pPr>
      <w:r w:rsidRPr="00EC5C45">
        <w:rPr>
          <w:color w:val="auto"/>
          <w:lang w:val="en-GB"/>
        </w:rPr>
        <w:t xml:space="preserve">Public access to the </w:t>
      </w:r>
      <w:r w:rsidR="0069201A" w:rsidRPr="00EC5C45">
        <w:rPr>
          <w:color w:val="auto"/>
          <w:lang w:val="en-GB"/>
        </w:rPr>
        <w:t>Internet</w:t>
      </w:r>
      <w:r w:rsidRPr="00EC5C45">
        <w:rPr>
          <w:color w:val="auto"/>
          <w:lang w:val="en-GB"/>
        </w:rPr>
        <w:t xml:space="preserve"> in the form of a shared community access point, </w:t>
      </w:r>
      <w:r w:rsidR="004C6B0E" w:rsidRPr="00EC5C45">
        <w:rPr>
          <w:color w:val="auto"/>
          <w:lang w:val="en-GB"/>
        </w:rPr>
        <w:t xml:space="preserve">in particular </w:t>
      </w:r>
      <w:r w:rsidRPr="00EC5C45">
        <w:rPr>
          <w:color w:val="auto"/>
          <w:lang w:val="en-GB"/>
        </w:rPr>
        <w:t>at a public library, requires the least infrastructure investment to serve</w:t>
      </w:r>
      <w:r w:rsidR="00FB461E" w:rsidRPr="00EC5C45">
        <w:rPr>
          <w:color w:val="auto"/>
          <w:lang w:val="en-GB"/>
        </w:rPr>
        <w:t xml:space="preserve"> the greatest number of users. Therefore,</w:t>
      </w:r>
      <w:r w:rsidRPr="00EC5C45">
        <w:rPr>
          <w:color w:val="auto"/>
          <w:lang w:val="en-GB"/>
        </w:rPr>
        <w:t xml:space="preserve"> an e</w:t>
      </w:r>
      <w:r w:rsidR="0031140C" w:rsidRPr="00EC5C45">
        <w:rPr>
          <w:rStyle w:val="eop"/>
          <w:rFonts w:eastAsiaTheme="majorEastAsia" w:cs="Segoe UI"/>
          <w:color w:val="auto"/>
          <w:lang w:val="en-GB"/>
        </w:rPr>
        <w:t xml:space="preserve">ffective way of achieving connectivity for the next billion </w:t>
      </w:r>
      <w:r w:rsidR="00B86922" w:rsidRPr="00EC5C45">
        <w:rPr>
          <w:rStyle w:val="eop"/>
          <w:rFonts w:eastAsiaTheme="majorEastAsia" w:cs="Segoe UI"/>
          <w:color w:val="auto"/>
          <w:lang w:val="en-GB"/>
        </w:rPr>
        <w:t xml:space="preserve">is </w:t>
      </w:r>
      <w:r w:rsidR="0031140C" w:rsidRPr="00EC5C45">
        <w:rPr>
          <w:rStyle w:val="eop"/>
          <w:rFonts w:eastAsiaTheme="majorEastAsia" w:cs="Segoe UI"/>
          <w:color w:val="auto"/>
          <w:lang w:val="en-GB"/>
        </w:rPr>
        <w:t>to use libraries as community hubs to provide</w:t>
      </w:r>
      <w:r w:rsidR="00A67076" w:rsidRPr="00EC5C45">
        <w:rPr>
          <w:rStyle w:val="eop"/>
          <w:rFonts w:eastAsiaTheme="majorEastAsia" w:cs="Segoe UI"/>
          <w:color w:val="auto"/>
          <w:lang w:val="en-GB"/>
        </w:rPr>
        <w:t xml:space="preserve"> physical</w:t>
      </w:r>
      <w:r w:rsidR="0031140C" w:rsidRPr="00EC5C45">
        <w:rPr>
          <w:rStyle w:val="eop"/>
          <w:rFonts w:eastAsiaTheme="majorEastAsia" w:cs="Segoe UI"/>
          <w:color w:val="auto"/>
          <w:lang w:val="en-GB"/>
        </w:rPr>
        <w:t xml:space="preserve"> </w:t>
      </w:r>
      <w:r w:rsidR="0031140C" w:rsidRPr="00EC5C45">
        <w:rPr>
          <w:rStyle w:val="eop"/>
          <w:rFonts w:eastAsiaTheme="majorEastAsia" w:cs="Segoe UI"/>
          <w:i/>
          <w:color w:val="auto"/>
          <w:lang w:val="en-GB"/>
        </w:rPr>
        <w:t>access</w:t>
      </w:r>
      <w:r w:rsidR="0031140C" w:rsidRPr="00EC5C45">
        <w:rPr>
          <w:rStyle w:val="eop"/>
          <w:rFonts w:eastAsiaTheme="majorEastAsia" w:cs="Segoe UI"/>
          <w:color w:val="auto"/>
          <w:lang w:val="en-GB"/>
        </w:rPr>
        <w:t xml:space="preserve"> to the </w:t>
      </w:r>
      <w:r w:rsidR="0069201A" w:rsidRPr="00EC5C45">
        <w:rPr>
          <w:rStyle w:val="eop"/>
          <w:rFonts w:eastAsiaTheme="majorEastAsia" w:cs="Segoe UI"/>
          <w:color w:val="auto"/>
          <w:lang w:val="en-GB"/>
        </w:rPr>
        <w:t>Internet</w:t>
      </w:r>
      <w:r w:rsidR="0031140C" w:rsidRPr="00EC5C45">
        <w:rPr>
          <w:rStyle w:val="eop"/>
          <w:rFonts w:eastAsiaTheme="majorEastAsia" w:cs="Segoe UI"/>
          <w:color w:val="auto"/>
          <w:lang w:val="en-GB"/>
        </w:rPr>
        <w:t xml:space="preserve"> (e.g. through </w:t>
      </w:r>
      <w:r w:rsidR="007D6208" w:rsidRPr="00EC5C45">
        <w:rPr>
          <w:rStyle w:val="eop"/>
          <w:rFonts w:eastAsiaTheme="majorEastAsia" w:cs="Segoe UI"/>
          <w:color w:val="auto"/>
          <w:lang w:val="en-GB"/>
        </w:rPr>
        <w:t>Wi-Fi</w:t>
      </w:r>
      <w:r w:rsidR="008023F7" w:rsidRPr="00EC5C45">
        <w:rPr>
          <w:rStyle w:val="eop"/>
          <w:rFonts w:eastAsiaTheme="majorEastAsia" w:cs="Segoe UI"/>
          <w:color w:val="auto"/>
          <w:lang w:val="en-GB"/>
        </w:rPr>
        <w:t xml:space="preserve"> and terminals</w:t>
      </w:r>
      <w:r w:rsidR="0031140C" w:rsidRPr="00EC5C45">
        <w:rPr>
          <w:rStyle w:val="eop"/>
          <w:rFonts w:eastAsiaTheme="majorEastAsia" w:cs="Segoe UI"/>
          <w:color w:val="auto"/>
          <w:lang w:val="en-GB"/>
        </w:rPr>
        <w:t xml:space="preserve">), </w:t>
      </w:r>
      <w:r w:rsidR="00A9160C" w:rsidRPr="00EC5C45">
        <w:rPr>
          <w:rStyle w:val="eop"/>
          <w:rFonts w:eastAsiaTheme="majorEastAsia" w:cs="Segoe UI"/>
          <w:i/>
          <w:color w:val="auto"/>
          <w:lang w:val="en-GB"/>
        </w:rPr>
        <w:t>skills</w:t>
      </w:r>
      <w:r w:rsidR="0031140C" w:rsidRPr="00EC5C45">
        <w:rPr>
          <w:rStyle w:val="eop"/>
          <w:rFonts w:eastAsiaTheme="majorEastAsia" w:cs="Segoe UI"/>
          <w:color w:val="auto"/>
          <w:lang w:val="en-GB"/>
        </w:rPr>
        <w:t xml:space="preserve"> on how to use ICTs,</w:t>
      </w:r>
      <w:r w:rsidR="00982D9E" w:rsidRPr="00EC5C45">
        <w:rPr>
          <w:rStyle w:val="eop"/>
          <w:rFonts w:eastAsiaTheme="majorEastAsia" w:cs="Segoe UI"/>
          <w:color w:val="auto"/>
          <w:lang w:val="en-GB"/>
        </w:rPr>
        <w:t xml:space="preserve"> </w:t>
      </w:r>
      <w:r w:rsidR="00982D9E" w:rsidRPr="00EC5C45">
        <w:rPr>
          <w:rStyle w:val="eop"/>
          <w:rFonts w:eastAsiaTheme="majorEastAsia" w:cs="Segoe UI"/>
          <w:i/>
          <w:color w:val="auto"/>
          <w:lang w:val="en-GB"/>
        </w:rPr>
        <w:t xml:space="preserve">opportunities </w:t>
      </w:r>
      <w:r w:rsidR="00982D9E" w:rsidRPr="00EC5C45">
        <w:rPr>
          <w:rStyle w:val="eop"/>
          <w:rFonts w:eastAsiaTheme="majorEastAsia" w:cs="Segoe UI"/>
          <w:color w:val="auto"/>
          <w:lang w:val="en-GB"/>
        </w:rPr>
        <w:t>to use the technology in a meaningful way,</w:t>
      </w:r>
      <w:r w:rsidR="0031140C" w:rsidRPr="00EC5C45">
        <w:rPr>
          <w:rStyle w:val="eop"/>
          <w:rFonts w:eastAsiaTheme="majorEastAsia" w:cs="Segoe UI"/>
          <w:color w:val="auto"/>
          <w:lang w:val="en-GB"/>
        </w:rPr>
        <w:t xml:space="preserve"> and </w:t>
      </w:r>
      <w:r w:rsidR="00F91686" w:rsidRPr="00EC5C45">
        <w:rPr>
          <w:rStyle w:val="eop"/>
          <w:rFonts w:eastAsiaTheme="majorEastAsia" w:cs="Segoe UI"/>
          <w:i/>
          <w:color w:val="auto"/>
          <w:lang w:val="en-GB"/>
        </w:rPr>
        <w:t>assistance</w:t>
      </w:r>
      <w:r w:rsidR="0031140C" w:rsidRPr="00EC5C45">
        <w:rPr>
          <w:rStyle w:val="eop"/>
          <w:rFonts w:eastAsiaTheme="majorEastAsia" w:cs="Segoe UI"/>
          <w:color w:val="auto"/>
          <w:lang w:val="en-GB"/>
        </w:rPr>
        <w:t xml:space="preserve"> on how to critically evaluate the accessed information.</w:t>
      </w:r>
    </w:p>
    <w:p w14:paraId="2A458048" w14:textId="3E39BE17" w:rsidR="0031140C" w:rsidRPr="00EC5C45" w:rsidRDefault="0031140C" w:rsidP="00E054E4">
      <w:pPr>
        <w:pStyle w:val="Text"/>
        <w:rPr>
          <w:rStyle w:val="eop"/>
          <w:rFonts w:eastAsiaTheme="majorEastAsia" w:cs="Segoe UI"/>
          <w:color w:val="auto"/>
          <w:lang w:val="en-GB"/>
        </w:rPr>
      </w:pPr>
      <w:r w:rsidRPr="00EC5C45">
        <w:rPr>
          <w:rStyle w:val="eop"/>
          <w:rFonts w:eastAsiaTheme="majorEastAsia" w:cs="Segoe UI"/>
          <w:color w:val="auto"/>
          <w:lang w:val="en-GB"/>
        </w:rPr>
        <w:t xml:space="preserve">For libraries to provide this service it is however necessary that policy makers are aware of the technical and human resources </w:t>
      </w:r>
      <w:r w:rsidR="004C6B0E" w:rsidRPr="00EC5C45">
        <w:rPr>
          <w:rStyle w:val="eop"/>
          <w:rFonts w:eastAsiaTheme="majorEastAsia" w:cs="Segoe UI"/>
          <w:color w:val="auto"/>
          <w:lang w:val="en-GB"/>
        </w:rPr>
        <w:t>required</w:t>
      </w:r>
      <w:r w:rsidRPr="00EC5C45">
        <w:rPr>
          <w:rStyle w:val="eop"/>
          <w:rFonts w:eastAsiaTheme="majorEastAsia" w:cs="Segoe UI"/>
          <w:color w:val="auto"/>
          <w:lang w:val="en-GB"/>
        </w:rPr>
        <w:t>, and take an active part in financing infrastructure and library staff</w:t>
      </w:r>
      <w:r w:rsidR="004C6B0E" w:rsidRPr="00EC5C45">
        <w:rPr>
          <w:rStyle w:val="eop"/>
          <w:rFonts w:eastAsiaTheme="majorEastAsia" w:cs="Segoe UI"/>
          <w:color w:val="auto"/>
          <w:lang w:val="en-GB"/>
        </w:rPr>
        <w:t>ing</w:t>
      </w:r>
      <w:r w:rsidRPr="00EC5C45">
        <w:rPr>
          <w:rStyle w:val="eop"/>
          <w:rFonts w:eastAsiaTheme="majorEastAsia" w:cs="Segoe UI"/>
          <w:color w:val="auto"/>
          <w:lang w:val="en-GB"/>
        </w:rPr>
        <w:t>.</w:t>
      </w:r>
    </w:p>
    <w:p w14:paraId="7DD57ED4" w14:textId="483E4036" w:rsidR="00B737DA" w:rsidRPr="00060D01" w:rsidRDefault="00B737DA" w:rsidP="00B737DA">
      <w:pPr>
        <w:pStyle w:val="Text"/>
        <w:rPr>
          <w:color w:val="auto"/>
          <w:lang w:val="en-GB"/>
        </w:rPr>
      </w:pPr>
      <w:r w:rsidRPr="00060D01">
        <w:rPr>
          <w:color w:val="auto"/>
          <w:lang w:val="en-GB"/>
        </w:rPr>
        <w:t>Findings of the Library perception study in six African countries (Ethiopia, Ghana, Kenya, Tanzania, Uganda and Zimbabwe) show that most people believe in librar</w:t>
      </w:r>
      <w:r w:rsidR="004C6B0E" w:rsidRPr="00060D01">
        <w:rPr>
          <w:color w:val="auto"/>
          <w:lang w:val="en-GB"/>
        </w:rPr>
        <w:t>ies’</w:t>
      </w:r>
      <w:r w:rsidRPr="00060D01">
        <w:rPr>
          <w:color w:val="auto"/>
          <w:lang w:val="en-GB"/>
        </w:rPr>
        <w:t xml:space="preserve"> potential to contribute to community development through services and programmes that go beyond passive provision of books, particularly: </w:t>
      </w:r>
    </w:p>
    <w:p w14:paraId="026F8A79" w14:textId="09F7FEAC" w:rsidR="00B737DA" w:rsidRPr="00060D01" w:rsidRDefault="00B737DA" w:rsidP="00B737DA">
      <w:pPr>
        <w:pStyle w:val="Text"/>
        <w:rPr>
          <w:color w:val="auto"/>
          <w:lang w:val="en-GB"/>
        </w:rPr>
      </w:pPr>
      <w:r w:rsidRPr="00060D01">
        <w:rPr>
          <w:color w:val="auto"/>
          <w:lang w:val="en-GB"/>
        </w:rPr>
        <w:t>•</w:t>
      </w:r>
      <w:r w:rsidRPr="00060D01">
        <w:rPr>
          <w:color w:val="auto"/>
          <w:lang w:val="en-GB"/>
        </w:rPr>
        <w:tab/>
        <w:t>Services focused on health, agriculture, employment and business</w:t>
      </w:r>
      <w:r w:rsidR="004C6B0E" w:rsidRPr="00060D01">
        <w:rPr>
          <w:color w:val="auto"/>
          <w:lang w:val="en-GB"/>
        </w:rPr>
        <w:t>,</w:t>
      </w:r>
      <w:r w:rsidRPr="00060D01">
        <w:rPr>
          <w:color w:val="auto"/>
          <w:lang w:val="en-GB"/>
        </w:rPr>
        <w:t xml:space="preserve"> </w:t>
      </w:r>
    </w:p>
    <w:p w14:paraId="0C1FF663" w14:textId="173238E0" w:rsidR="00B737DA" w:rsidRPr="00060D01" w:rsidRDefault="00B737DA" w:rsidP="00B737DA">
      <w:pPr>
        <w:pStyle w:val="Text"/>
        <w:rPr>
          <w:color w:val="auto"/>
          <w:lang w:val="en-GB"/>
        </w:rPr>
      </w:pPr>
      <w:r w:rsidRPr="00060D01">
        <w:rPr>
          <w:color w:val="auto"/>
          <w:lang w:val="en-GB"/>
        </w:rPr>
        <w:t>•</w:t>
      </w:r>
      <w:r w:rsidRPr="00060D01">
        <w:rPr>
          <w:color w:val="auto"/>
          <w:lang w:val="en-GB"/>
        </w:rPr>
        <w:tab/>
        <w:t>Connecting citizens to government resources and tools</w:t>
      </w:r>
      <w:r w:rsidR="004C6B0E" w:rsidRPr="00060D01">
        <w:rPr>
          <w:color w:val="auto"/>
          <w:lang w:val="en-GB"/>
        </w:rPr>
        <w:t>,</w:t>
      </w:r>
    </w:p>
    <w:p w14:paraId="413BF0CF" w14:textId="32E0885B" w:rsidR="00B737DA" w:rsidRPr="00060D01" w:rsidRDefault="00B737DA" w:rsidP="00B737DA">
      <w:pPr>
        <w:pStyle w:val="Text"/>
        <w:rPr>
          <w:color w:val="auto"/>
          <w:lang w:val="en-GB"/>
        </w:rPr>
      </w:pPr>
      <w:r w:rsidRPr="00060D01">
        <w:rPr>
          <w:color w:val="auto"/>
          <w:lang w:val="en-GB"/>
        </w:rPr>
        <w:lastRenderedPageBreak/>
        <w:t>•</w:t>
      </w:r>
      <w:r w:rsidRPr="00060D01">
        <w:rPr>
          <w:color w:val="auto"/>
          <w:lang w:val="en-GB"/>
        </w:rPr>
        <w:tab/>
        <w:t>Education, learning development for both children and adults</w:t>
      </w:r>
      <w:r w:rsidR="004C6B0E" w:rsidRPr="00060D01">
        <w:rPr>
          <w:color w:val="auto"/>
          <w:lang w:val="en-GB"/>
        </w:rPr>
        <w:t>,</w:t>
      </w:r>
    </w:p>
    <w:p w14:paraId="36EB5981" w14:textId="1E341173" w:rsidR="00B737DA" w:rsidRPr="00060D01" w:rsidRDefault="00B737DA" w:rsidP="00E054E4">
      <w:pPr>
        <w:pStyle w:val="Text"/>
        <w:rPr>
          <w:rStyle w:val="eop"/>
          <w:color w:val="auto"/>
          <w:lang w:val="en-GB"/>
        </w:rPr>
      </w:pPr>
      <w:r w:rsidRPr="00060D01">
        <w:rPr>
          <w:color w:val="auto"/>
          <w:lang w:val="en-GB"/>
        </w:rPr>
        <w:t>•</w:t>
      </w:r>
      <w:r w:rsidRPr="00060D01">
        <w:rPr>
          <w:color w:val="auto"/>
          <w:lang w:val="en-GB"/>
        </w:rPr>
        <w:tab/>
        <w:t xml:space="preserve">Providing </w:t>
      </w:r>
      <w:r w:rsidR="0069201A" w:rsidRPr="00060D01">
        <w:rPr>
          <w:color w:val="auto"/>
          <w:lang w:val="en-GB"/>
        </w:rPr>
        <w:t>Internet</w:t>
      </w:r>
      <w:r w:rsidRPr="00060D01">
        <w:rPr>
          <w:color w:val="auto"/>
          <w:lang w:val="en-GB"/>
        </w:rPr>
        <w:t xml:space="preserve"> access and training to build computer skills.</w:t>
      </w:r>
      <w:r w:rsidRPr="00060D01">
        <w:rPr>
          <w:rStyle w:val="FootnoteReference"/>
          <w:color w:val="auto"/>
          <w:lang w:val="en-GB"/>
        </w:rPr>
        <w:footnoteReference w:id="1"/>
      </w:r>
    </w:p>
    <w:p w14:paraId="2D2FE95D" w14:textId="4A7869CB" w:rsidR="004C6AE8" w:rsidRPr="00EC5C45" w:rsidRDefault="000A7E36" w:rsidP="00E054E4">
      <w:pPr>
        <w:pStyle w:val="Text"/>
        <w:rPr>
          <w:color w:val="auto"/>
          <w:lang w:val="en-GB"/>
        </w:rPr>
      </w:pPr>
      <w:r w:rsidRPr="00EC5C45">
        <w:rPr>
          <w:color w:val="auto"/>
          <w:lang w:val="en-GB"/>
        </w:rPr>
        <w:t>What a community access point may lack in ubiquity and mobility, it makes up for as being most affordable</w:t>
      </w:r>
      <w:r w:rsidR="004C6B0E" w:rsidRPr="00EC5C45">
        <w:rPr>
          <w:color w:val="auto"/>
          <w:lang w:val="en-GB"/>
        </w:rPr>
        <w:t>,</w:t>
      </w:r>
      <w:r w:rsidRPr="00EC5C45">
        <w:rPr>
          <w:color w:val="auto"/>
          <w:lang w:val="en-GB"/>
        </w:rPr>
        <w:t xml:space="preserve"> as a </w:t>
      </w:r>
      <w:r w:rsidR="00EF0856" w:rsidRPr="00EC5C45">
        <w:rPr>
          <w:color w:val="auto"/>
          <w:lang w:val="en-GB"/>
        </w:rPr>
        <w:t>low</w:t>
      </w:r>
      <w:r w:rsidR="008023F7" w:rsidRPr="00EC5C45">
        <w:rPr>
          <w:color w:val="auto"/>
          <w:lang w:val="en-GB"/>
        </w:rPr>
        <w:t>-</w:t>
      </w:r>
      <w:r w:rsidRPr="00EC5C45">
        <w:rPr>
          <w:color w:val="auto"/>
          <w:lang w:val="en-GB"/>
        </w:rPr>
        <w:t xml:space="preserve">or </w:t>
      </w:r>
      <w:r w:rsidR="00EF0856" w:rsidRPr="00EC5C45">
        <w:rPr>
          <w:color w:val="auto"/>
          <w:lang w:val="en-GB"/>
        </w:rPr>
        <w:t>no</w:t>
      </w:r>
      <w:r w:rsidR="008023F7" w:rsidRPr="00EC5C45">
        <w:rPr>
          <w:color w:val="auto"/>
          <w:lang w:val="en-GB"/>
        </w:rPr>
        <w:t>-</w:t>
      </w:r>
      <w:r w:rsidRPr="00EC5C45">
        <w:rPr>
          <w:color w:val="auto"/>
          <w:lang w:val="en-GB"/>
        </w:rPr>
        <w:t xml:space="preserve">fee basic service and as a fixed facility with potential for adding enabling support services and equipment. </w:t>
      </w:r>
    </w:p>
    <w:p w14:paraId="47572292" w14:textId="2442D205" w:rsidR="00E054E4" w:rsidRPr="00EC5C45" w:rsidRDefault="000A7E36" w:rsidP="00E054E4">
      <w:pPr>
        <w:pStyle w:val="Text"/>
        <w:rPr>
          <w:color w:val="auto"/>
          <w:lang w:val="en-GB"/>
        </w:rPr>
      </w:pPr>
      <w:r w:rsidRPr="00EC5C45">
        <w:rPr>
          <w:color w:val="auto"/>
          <w:lang w:val="en-GB"/>
        </w:rPr>
        <w:t>For example,</w:t>
      </w:r>
      <w:r w:rsidR="00E054E4" w:rsidRPr="00EC5C45">
        <w:rPr>
          <w:color w:val="auto"/>
          <w:lang w:val="en-GB"/>
        </w:rPr>
        <w:t xml:space="preserve"> the </w:t>
      </w:r>
      <w:r w:rsidR="003F472C" w:rsidRPr="00EC5C45">
        <w:rPr>
          <w:color w:val="auto"/>
          <w:lang w:val="en-GB"/>
        </w:rPr>
        <w:t xml:space="preserve">United States </w:t>
      </w:r>
      <w:proofErr w:type="gramStart"/>
      <w:r w:rsidR="00E054E4" w:rsidRPr="00EC5C45">
        <w:rPr>
          <w:color w:val="auto"/>
          <w:lang w:val="en-GB"/>
        </w:rPr>
        <w:t>federal</w:t>
      </w:r>
      <w:proofErr w:type="gramEnd"/>
      <w:r w:rsidR="00E054E4" w:rsidRPr="00EC5C45">
        <w:rPr>
          <w:color w:val="auto"/>
          <w:lang w:val="en-GB"/>
        </w:rPr>
        <w:t xml:space="preserve"> Broadband Technology Opportunities Program</w:t>
      </w:r>
      <w:r w:rsidR="001F7B88" w:rsidRPr="00EC5C45">
        <w:rPr>
          <w:color w:val="auto"/>
          <w:lang w:val="en-GB"/>
        </w:rPr>
        <w:t xml:space="preserve"> </w:t>
      </w:r>
      <w:r w:rsidR="00E054E4" w:rsidRPr="00EC5C45">
        <w:rPr>
          <w:color w:val="auto"/>
          <w:lang w:val="en-GB"/>
        </w:rPr>
        <w:t>(BTOP)</w:t>
      </w:r>
      <w:r w:rsidR="0081029C" w:rsidRPr="00EC5C45">
        <w:rPr>
          <w:color w:val="auto"/>
          <w:lang w:val="en-GB"/>
        </w:rPr>
        <w:t xml:space="preserve"> launched in 2009,</w:t>
      </w:r>
      <w:r w:rsidR="00E054E4" w:rsidRPr="00EC5C45">
        <w:rPr>
          <w:color w:val="auto"/>
          <w:lang w:val="en-GB"/>
        </w:rPr>
        <w:t xml:space="preserve"> </w:t>
      </w:r>
      <w:r w:rsidR="004C6B0E" w:rsidRPr="00EC5C45">
        <w:rPr>
          <w:color w:val="auto"/>
          <w:lang w:val="en-GB"/>
        </w:rPr>
        <w:t xml:space="preserve">sought to </w:t>
      </w:r>
      <w:r w:rsidR="00E054E4" w:rsidRPr="00EC5C45">
        <w:rPr>
          <w:color w:val="auto"/>
          <w:lang w:val="en-GB"/>
        </w:rPr>
        <w:t>connect community hubs</w:t>
      </w:r>
      <w:r w:rsidR="001F7B88" w:rsidRPr="00EC5C45">
        <w:rPr>
          <w:color w:val="auto"/>
          <w:lang w:val="en-GB"/>
        </w:rPr>
        <w:t xml:space="preserve"> like libraries, community cent</w:t>
      </w:r>
      <w:r w:rsidR="00E054E4" w:rsidRPr="00EC5C45">
        <w:rPr>
          <w:color w:val="auto"/>
          <w:lang w:val="en-GB"/>
        </w:rPr>
        <w:t>r</w:t>
      </w:r>
      <w:r w:rsidR="001F7B88" w:rsidRPr="00EC5C45">
        <w:rPr>
          <w:color w:val="auto"/>
          <w:lang w:val="en-GB"/>
        </w:rPr>
        <w:t>e</w:t>
      </w:r>
      <w:r w:rsidR="00E054E4" w:rsidRPr="00EC5C45">
        <w:rPr>
          <w:color w:val="auto"/>
          <w:lang w:val="en-GB"/>
        </w:rPr>
        <w:t>s, schools, clinics, etc. as "intermediate end points"</w:t>
      </w:r>
      <w:r w:rsidR="0081029C" w:rsidRPr="00EC5C45">
        <w:rPr>
          <w:color w:val="auto"/>
          <w:lang w:val="en-GB"/>
        </w:rPr>
        <w:t>. It</w:t>
      </w:r>
      <w:r w:rsidR="00E054E4" w:rsidRPr="00EC5C45">
        <w:rPr>
          <w:color w:val="auto"/>
          <w:lang w:val="en-GB"/>
        </w:rPr>
        <w:t xml:space="preserve"> has proven </w:t>
      </w:r>
      <w:r w:rsidR="00982D9E" w:rsidRPr="00EC5C45">
        <w:rPr>
          <w:color w:val="auto"/>
          <w:lang w:val="en-GB"/>
        </w:rPr>
        <w:t xml:space="preserve">an </w:t>
      </w:r>
      <w:r w:rsidR="00E054E4" w:rsidRPr="00EC5C45">
        <w:rPr>
          <w:color w:val="auto"/>
          <w:lang w:val="en-GB"/>
        </w:rPr>
        <w:t>effective twofold strategy by</w:t>
      </w:r>
      <w:r w:rsidR="003F472C" w:rsidRPr="00EC5C45">
        <w:rPr>
          <w:color w:val="auto"/>
          <w:lang w:val="en-GB"/>
        </w:rPr>
        <w:t xml:space="preserve"> </w:t>
      </w:r>
      <w:r w:rsidR="00E054E4" w:rsidRPr="00EC5C45">
        <w:rPr>
          <w:color w:val="auto"/>
          <w:lang w:val="en-GB"/>
        </w:rPr>
        <w:t xml:space="preserve">providing </w:t>
      </w:r>
      <w:r w:rsidR="0081029C" w:rsidRPr="00EC5C45">
        <w:rPr>
          <w:color w:val="auto"/>
          <w:lang w:val="en-GB"/>
        </w:rPr>
        <w:t>and/</w:t>
      </w:r>
      <w:r w:rsidR="00E054E4" w:rsidRPr="00EC5C45">
        <w:rPr>
          <w:color w:val="auto"/>
          <w:lang w:val="en-GB"/>
        </w:rPr>
        <w:t xml:space="preserve">or increasing connectivity for large populations at priority </w:t>
      </w:r>
      <w:r w:rsidR="0081029C" w:rsidRPr="00EC5C45">
        <w:rPr>
          <w:color w:val="auto"/>
          <w:lang w:val="en-GB"/>
        </w:rPr>
        <w:t>locations</w:t>
      </w:r>
      <w:r w:rsidR="00E054E4" w:rsidRPr="00EC5C45">
        <w:rPr>
          <w:color w:val="auto"/>
          <w:lang w:val="en-GB"/>
        </w:rPr>
        <w:t xml:space="preserve"> and stimulating further public </w:t>
      </w:r>
      <w:r w:rsidR="003F472C" w:rsidRPr="00EC5C45">
        <w:rPr>
          <w:color w:val="auto"/>
          <w:lang w:val="en-GB"/>
        </w:rPr>
        <w:t>and</w:t>
      </w:r>
      <w:r w:rsidR="00E054E4" w:rsidRPr="00EC5C45">
        <w:rPr>
          <w:color w:val="auto"/>
          <w:lang w:val="en-GB"/>
        </w:rPr>
        <w:t xml:space="preserve"> private investments by creating convenient </w:t>
      </w:r>
      <w:r w:rsidR="003F472C" w:rsidRPr="00EC5C45">
        <w:rPr>
          <w:color w:val="auto"/>
          <w:lang w:val="en-GB"/>
        </w:rPr>
        <w:t>access</w:t>
      </w:r>
      <w:r w:rsidR="00E054E4" w:rsidRPr="00EC5C45">
        <w:rPr>
          <w:color w:val="auto"/>
          <w:lang w:val="en-GB"/>
        </w:rPr>
        <w:t xml:space="preserve"> points in </w:t>
      </w:r>
      <w:r w:rsidR="00CD691B" w:rsidRPr="00EC5C45">
        <w:rPr>
          <w:color w:val="auto"/>
          <w:lang w:val="en-GB"/>
        </w:rPr>
        <w:t xml:space="preserve">wired and </w:t>
      </w:r>
      <w:r w:rsidR="00E054E4" w:rsidRPr="00EC5C45">
        <w:rPr>
          <w:color w:val="auto"/>
          <w:lang w:val="en-GB"/>
        </w:rPr>
        <w:t>wireless broadband network build</w:t>
      </w:r>
      <w:r w:rsidR="00CD691B" w:rsidRPr="00EC5C45">
        <w:rPr>
          <w:color w:val="auto"/>
          <w:lang w:val="en-GB"/>
        </w:rPr>
        <w:t>-</w:t>
      </w:r>
      <w:r w:rsidR="00E054E4" w:rsidRPr="00EC5C45">
        <w:rPr>
          <w:color w:val="auto"/>
          <w:lang w:val="en-GB"/>
        </w:rPr>
        <w:t xml:space="preserve">out. Recent changes and </w:t>
      </w:r>
      <w:r w:rsidR="0081029C" w:rsidRPr="00EC5C45">
        <w:rPr>
          <w:color w:val="auto"/>
          <w:lang w:val="en-GB"/>
        </w:rPr>
        <w:t xml:space="preserve">additional investments in </w:t>
      </w:r>
      <w:r w:rsidR="00E054E4" w:rsidRPr="00EC5C45">
        <w:rPr>
          <w:color w:val="auto"/>
          <w:lang w:val="en-GB"/>
        </w:rPr>
        <w:t>the U</w:t>
      </w:r>
      <w:r w:rsidR="00982D9E" w:rsidRPr="00EC5C45">
        <w:rPr>
          <w:color w:val="auto"/>
          <w:lang w:val="en-GB"/>
        </w:rPr>
        <w:t xml:space="preserve">niversal </w:t>
      </w:r>
      <w:r w:rsidR="00E054E4" w:rsidRPr="00EC5C45">
        <w:rPr>
          <w:color w:val="auto"/>
          <w:lang w:val="en-GB"/>
        </w:rPr>
        <w:t>S</w:t>
      </w:r>
      <w:r w:rsidR="00982D9E" w:rsidRPr="00EC5C45">
        <w:rPr>
          <w:color w:val="auto"/>
          <w:lang w:val="en-GB"/>
        </w:rPr>
        <w:t xml:space="preserve">ervice </w:t>
      </w:r>
      <w:r w:rsidR="00E054E4" w:rsidRPr="00EC5C45">
        <w:rPr>
          <w:color w:val="auto"/>
          <w:lang w:val="en-GB"/>
        </w:rPr>
        <w:t>F</w:t>
      </w:r>
      <w:r w:rsidR="00982D9E" w:rsidRPr="00EC5C45">
        <w:rPr>
          <w:color w:val="auto"/>
          <w:lang w:val="en-GB"/>
        </w:rPr>
        <w:t>und (USF)</w:t>
      </w:r>
      <w:r w:rsidR="00E054E4" w:rsidRPr="00EC5C45">
        <w:rPr>
          <w:color w:val="auto"/>
          <w:lang w:val="en-GB"/>
        </w:rPr>
        <w:t xml:space="preserve"> progra</w:t>
      </w:r>
      <w:r w:rsidR="004447D8" w:rsidRPr="00EC5C45">
        <w:rPr>
          <w:color w:val="auto"/>
          <w:lang w:val="en-GB"/>
        </w:rPr>
        <w:t>m</w:t>
      </w:r>
      <w:r w:rsidR="00E054E4" w:rsidRPr="00EC5C45">
        <w:rPr>
          <w:color w:val="auto"/>
          <w:lang w:val="en-GB"/>
        </w:rPr>
        <w:t>m</w:t>
      </w:r>
      <w:r w:rsidR="004447D8" w:rsidRPr="00EC5C45">
        <w:rPr>
          <w:color w:val="auto"/>
          <w:lang w:val="en-GB"/>
        </w:rPr>
        <w:t>e</w:t>
      </w:r>
      <w:r w:rsidR="00E054E4" w:rsidRPr="00EC5C45">
        <w:rPr>
          <w:color w:val="auto"/>
          <w:lang w:val="en-GB"/>
        </w:rPr>
        <w:t>s continue to expand this model.</w:t>
      </w:r>
    </w:p>
    <w:p w14:paraId="772FDA39" w14:textId="550F4C51" w:rsidR="003F78DD" w:rsidRPr="00EC5C45" w:rsidRDefault="0081029C" w:rsidP="003F78DD">
      <w:pPr>
        <w:pStyle w:val="Text"/>
        <w:rPr>
          <w:color w:val="auto"/>
          <w:lang w:val="en-GB"/>
        </w:rPr>
      </w:pPr>
      <w:r w:rsidRPr="00EC5C45">
        <w:rPr>
          <w:color w:val="auto"/>
          <w:lang w:val="en-GB"/>
        </w:rPr>
        <w:t>Despite</w:t>
      </w:r>
      <w:r w:rsidR="003F78DD" w:rsidRPr="00EC5C45">
        <w:rPr>
          <w:color w:val="auto"/>
          <w:lang w:val="en-GB"/>
        </w:rPr>
        <w:t xml:space="preserve"> many USF program</w:t>
      </w:r>
      <w:r w:rsidRPr="00EC5C45">
        <w:rPr>
          <w:color w:val="auto"/>
          <w:lang w:val="en-GB"/>
        </w:rPr>
        <w:t>me</w:t>
      </w:r>
      <w:r w:rsidR="003F78DD" w:rsidRPr="00EC5C45">
        <w:rPr>
          <w:color w:val="auto"/>
          <w:lang w:val="en-GB"/>
        </w:rPr>
        <w:t>s</w:t>
      </w:r>
      <w:r w:rsidRPr="00EC5C45">
        <w:rPr>
          <w:color w:val="auto"/>
          <w:lang w:val="en-GB"/>
        </w:rPr>
        <w:t xml:space="preserve"> </w:t>
      </w:r>
      <w:r w:rsidR="00060D01">
        <w:rPr>
          <w:color w:val="auto"/>
          <w:lang w:val="en-GB"/>
        </w:rPr>
        <w:t>only partially realising their potential</w:t>
      </w:r>
      <w:r w:rsidR="003F78DD" w:rsidRPr="00EC5C45">
        <w:rPr>
          <w:color w:val="auto"/>
          <w:lang w:val="en-GB"/>
        </w:rPr>
        <w:t>, they still provide a common structural and institutional f</w:t>
      </w:r>
      <w:r w:rsidRPr="00EC5C45">
        <w:rPr>
          <w:color w:val="auto"/>
          <w:lang w:val="en-GB"/>
        </w:rPr>
        <w:t>inancing</w:t>
      </w:r>
      <w:r w:rsidR="003F78DD" w:rsidRPr="00EC5C45">
        <w:rPr>
          <w:color w:val="auto"/>
          <w:lang w:val="en-GB"/>
        </w:rPr>
        <w:t xml:space="preserve"> mechanism as well as </w:t>
      </w:r>
      <w:r w:rsidR="00982D9E" w:rsidRPr="00EC5C45">
        <w:rPr>
          <w:color w:val="auto"/>
          <w:lang w:val="en-GB"/>
        </w:rPr>
        <w:t xml:space="preserve">a </w:t>
      </w:r>
      <w:r w:rsidR="003F78DD" w:rsidRPr="00EC5C45">
        <w:rPr>
          <w:color w:val="auto"/>
          <w:lang w:val="en-GB"/>
        </w:rPr>
        <w:t>powerful rationale to connect libraries and</w:t>
      </w:r>
      <w:r w:rsidRPr="00EC5C45">
        <w:rPr>
          <w:color w:val="auto"/>
          <w:lang w:val="en-GB"/>
        </w:rPr>
        <w:t xml:space="preserve"> so</w:t>
      </w:r>
      <w:r w:rsidR="003F78DD" w:rsidRPr="00EC5C45">
        <w:rPr>
          <w:color w:val="auto"/>
          <w:lang w:val="en-GB"/>
        </w:rPr>
        <w:t xml:space="preserve"> enable public access. National telecom</w:t>
      </w:r>
      <w:r w:rsidR="00917C10" w:rsidRPr="00EC5C45">
        <w:rPr>
          <w:color w:val="auto"/>
          <w:lang w:val="en-GB"/>
        </w:rPr>
        <w:t>munications</w:t>
      </w:r>
      <w:r w:rsidR="003F78DD" w:rsidRPr="00EC5C45">
        <w:rPr>
          <w:color w:val="auto"/>
          <w:lang w:val="en-GB"/>
        </w:rPr>
        <w:t xml:space="preserve"> regulators </w:t>
      </w:r>
      <w:r w:rsidR="00917C10" w:rsidRPr="00EC5C45">
        <w:rPr>
          <w:color w:val="auto"/>
          <w:lang w:val="en-GB"/>
        </w:rPr>
        <w:t>and</w:t>
      </w:r>
      <w:r w:rsidR="003F78DD" w:rsidRPr="00EC5C45">
        <w:rPr>
          <w:color w:val="auto"/>
          <w:lang w:val="en-GB"/>
        </w:rPr>
        <w:t xml:space="preserve"> na</w:t>
      </w:r>
      <w:r w:rsidR="004447D8" w:rsidRPr="00EC5C45">
        <w:rPr>
          <w:color w:val="auto"/>
          <w:lang w:val="en-GB"/>
        </w:rPr>
        <w:t xml:space="preserve">tional finance ministries can and </w:t>
      </w:r>
      <w:r w:rsidR="003F78DD" w:rsidRPr="00EC5C45">
        <w:rPr>
          <w:color w:val="auto"/>
          <w:lang w:val="en-GB"/>
        </w:rPr>
        <w:t>should be encouraged to upgrade and enhance these program</w:t>
      </w:r>
      <w:r w:rsidR="00917C10" w:rsidRPr="00EC5C45">
        <w:rPr>
          <w:color w:val="auto"/>
          <w:lang w:val="en-GB"/>
        </w:rPr>
        <w:t>me</w:t>
      </w:r>
      <w:r w:rsidR="003F78DD" w:rsidRPr="00EC5C45">
        <w:rPr>
          <w:color w:val="auto"/>
          <w:lang w:val="en-GB"/>
        </w:rPr>
        <w:t>s to achieve universal access</w:t>
      </w:r>
      <w:r w:rsidR="008A10EA" w:rsidRPr="00EC5C45">
        <w:rPr>
          <w:color w:val="auto"/>
          <w:lang w:val="en-GB"/>
        </w:rPr>
        <w:t>, via a public access strategy.</w:t>
      </w:r>
    </w:p>
    <w:p w14:paraId="4CB700EB" w14:textId="590FAAAB" w:rsidR="003F78DD" w:rsidRPr="00EC5C45" w:rsidRDefault="004447D8" w:rsidP="00FB461E">
      <w:pPr>
        <w:pStyle w:val="Text"/>
        <w:rPr>
          <w:color w:val="auto"/>
          <w:lang w:val="en-GB"/>
        </w:rPr>
      </w:pPr>
      <w:r w:rsidRPr="00EC5C45">
        <w:rPr>
          <w:color w:val="auto"/>
          <w:lang w:val="en-GB"/>
        </w:rPr>
        <w:t>Increasing the amount of licenc</w:t>
      </w:r>
      <w:r w:rsidR="003F78DD" w:rsidRPr="00EC5C45">
        <w:rPr>
          <w:color w:val="auto"/>
          <w:lang w:val="en-GB"/>
        </w:rPr>
        <w:t>e</w:t>
      </w:r>
      <w:r w:rsidR="00982D9E" w:rsidRPr="00EC5C45">
        <w:rPr>
          <w:color w:val="auto"/>
          <w:lang w:val="en-GB"/>
        </w:rPr>
        <w:t>-</w:t>
      </w:r>
      <w:r w:rsidRPr="00EC5C45">
        <w:rPr>
          <w:color w:val="auto"/>
          <w:lang w:val="en-GB"/>
        </w:rPr>
        <w:t xml:space="preserve">free spectrum </w:t>
      </w:r>
      <w:r w:rsidR="0081029C" w:rsidRPr="00EC5C45">
        <w:rPr>
          <w:color w:val="auto"/>
          <w:lang w:val="en-GB"/>
        </w:rPr>
        <w:t xml:space="preserve">for </w:t>
      </w:r>
      <w:r w:rsidRPr="00EC5C45">
        <w:rPr>
          <w:color w:val="auto"/>
          <w:lang w:val="en-GB"/>
        </w:rPr>
        <w:t>W</w:t>
      </w:r>
      <w:r w:rsidR="005A6E38" w:rsidRPr="00EC5C45">
        <w:rPr>
          <w:color w:val="auto"/>
          <w:lang w:val="en-GB"/>
        </w:rPr>
        <w:t>i-Fi</w:t>
      </w:r>
      <w:r w:rsidR="003F78DD" w:rsidRPr="00EC5C45">
        <w:rPr>
          <w:color w:val="auto"/>
          <w:lang w:val="en-GB"/>
        </w:rPr>
        <w:t xml:space="preserve"> is a companion policy that sup</w:t>
      </w:r>
      <w:r w:rsidR="005A6E38" w:rsidRPr="00EC5C45">
        <w:rPr>
          <w:color w:val="auto"/>
          <w:lang w:val="en-GB"/>
        </w:rPr>
        <w:t>ports lowest-</w:t>
      </w:r>
      <w:r w:rsidR="003F78DD" w:rsidRPr="00EC5C45">
        <w:rPr>
          <w:color w:val="auto"/>
          <w:lang w:val="en-GB"/>
        </w:rPr>
        <w:t xml:space="preserve">cost public access. All spectrum originates as public property, the public airwaves. Selling it all off or giving it away only to have to buy some of </w:t>
      </w:r>
      <w:r w:rsidR="008A10EA" w:rsidRPr="00EC5C45">
        <w:rPr>
          <w:color w:val="auto"/>
          <w:lang w:val="en-GB"/>
        </w:rPr>
        <w:t xml:space="preserve">it </w:t>
      </w:r>
      <w:r w:rsidR="003F78DD" w:rsidRPr="00EC5C45">
        <w:rPr>
          <w:color w:val="auto"/>
          <w:lang w:val="en-GB"/>
        </w:rPr>
        <w:t>back as services, would be like a community selling all of its public land and then using the proceeds to lease so</w:t>
      </w:r>
      <w:r w:rsidR="005A6E38" w:rsidRPr="00EC5C45">
        <w:rPr>
          <w:color w:val="auto"/>
          <w:lang w:val="en-GB"/>
        </w:rPr>
        <w:t>me back to create public parks.</w:t>
      </w:r>
      <w:r w:rsidR="0081029C" w:rsidRPr="00EC5C45">
        <w:rPr>
          <w:color w:val="auto"/>
          <w:lang w:val="en-GB"/>
        </w:rPr>
        <w:t xml:space="preserve"> Policy-makers should look to identify and make spectrum available in the interests of public access.</w:t>
      </w:r>
    </w:p>
    <w:p w14:paraId="33543B74" w14:textId="476C501B" w:rsidR="009833D1" w:rsidRPr="00060D01" w:rsidRDefault="008A10EA" w:rsidP="00A9160C">
      <w:pPr>
        <w:pStyle w:val="Text"/>
        <w:rPr>
          <w:color w:val="auto"/>
          <w:lang w:val="en-GB"/>
        </w:rPr>
      </w:pPr>
      <w:r w:rsidRPr="00060D01">
        <w:rPr>
          <w:color w:val="auto"/>
          <w:lang w:val="en-GB"/>
        </w:rPr>
        <w:t>To summarise this section, w</w:t>
      </w:r>
      <w:r w:rsidR="009833D1" w:rsidRPr="00060D01">
        <w:rPr>
          <w:color w:val="auto"/>
          <w:lang w:val="en-GB"/>
        </w:rPr>
        <w:t xml:space="preserve">e want to underline that </w:t>
      </w:r>
      <w:r w:rsidR="0081029C" w:rsidRPr="00060D01">
        <w:rPr>
          <w:color w:val="auto"/>
          <w:lang w:val="en-GB"/>
        </w:rPr>
        <w:t xml:space="preserve">consideration of </w:t>
      </w:r>
      <w:r w:rsidR="009833D1" w:rsidRPr="00060D01">
        <w:rPr>
          <w:color w:val="auto"/>
          <w:lang w:val="en-GB"/>
        </w:rPr>
        <w:t>li</w:t>
      </w:r>
      <w:r w:rsidRPr="00060D01">
        <w:rPr>
          <w:color w:val="auto"/>
          <w:lang w:val="en-GB"/>
        </w:rPr>
        <w:t xml:space="preserve">braries </w:t>
      </w:r>
      <w:r w:rsidR="0081029C" w:rsidRPr="00060D01">
        <w:rPr>
          <w:color w:val="auto"/>
          <w:lang w:val="en-GB"/>
        </w:rPr>
        <w:t xml:space="preserve">as providers of </w:t>
      </w:r>
      <w:r w:rsidRPr="00060D01">
        <w:rPr>
          <w:color w:val="auto"/>
          <w:lang w:val="en-GB"/>
        </w:rPr>
        <w:t>access to ICTs need</w:t>
      </w:r>
      <w:r w:rsidR="0081029C" w:rsidRPr="00060D01">
        <w:rPr>
          <w:color w:val="auto"/>
          <w:lang w:val="en-GB"/>
        </w:rPr>
        <w:t>s</w:t>
      </w:r>
      <w:r w:rsidR="009833D1" w:rsidRPr="00060D01">
        <w:rPr>
          <w:color w:val="auto"/>
          <w:lang w:val="en-GB"/>
        </w:rPr>
        <w:t xml:space="preserve"> to be integrated into all government policies and programmes</w:t>
      </w:r>
      <w:r w:rsidRPr="00060D01">
        <w:rPr>
          <w:color w:val="auto"/>
          <w:lang w:val="en-GB"/>
        </w:rPr>
        <w:t xml:space="preserve">. </w:t>
      </w:r>
      <w:r w:rsidR="009833D1" w:rsidRPr="00060D01">
        <w:rPr>
          <w:color w:val="auto"/>
          <w:lang w:val="en-GB"/>
        </w:rPr>
        <w:t>ICT development is a shared responsibility across ministries and departments</w:t>
      </w:r>
      <w:r w:rsidR="0081029C" w:rsidRPr="00060D01">
        <w:rPr>
          <w:color w:val="auto"/>
          <w:lang w:val="en-GB"/>
        </w:rPr>
        <w:t>,</w:t>
      </w:r>
      <w:r w:rsidR="009833D1" w:rsidRPr="00060D01">
        <w:rPr>
          <w:color w:val="auto"/>
          <w:lang w:val="en-GB"/>
        </w:rPr>
        <w:t xml:space="preserve"> as the public’s ability to access the </w:t>
      </w:r>
      <w:r w:rsidR="0069201A" w:rsidRPr="00060D01">
        <w:rPr>
          <w:color w:val="auto"/>
          <w:lang w:val="en-GB"/>
        </w:rPr>
        <w:t>Internet</w:t>
      </w:r>
      <w:r w:rsidR="009833D1" w:rsidRPr="00060D01">
        <w:rPr>
          <w:color w:val="auto"/>
          <w:lang w:val="en-GB"/>
        </w:rPr>
        <w:t xml:space="preserve"> affects their ability to benefit from all </w:t>
      </w:r>
      <w:r w:rsidR="008023F7" w:rsidRPr="00060D01">
        <w:rPr>
          <w:color w:val="auto"/>
          <w:lang w:val="en-GB"/>
        </w:rPr>
        <w:t xml:space="preserve">government-provided </w:t>
      </w:r>
      <w:r w:rsidR="009833D1" w:rsidRPr="00060D01">
        <w:rPr>
          <w:color w:val="auto"/>
          <w:lang w:val="en-GB"/>
        </w:rPr>
        <w:t xml:space="preserve">social services </w:t>
      </w:r>
      <w:r w:rsidR="008023F7" w:rsidRPr="00060D01">
        <w:rPr>
          <w:color w:val="auto"/>
          <w:lang w:val="en-GB"/>
        </w:rPr>
        <w:t xml:space="preserve">intended to increase </w:t>
      </w:r>
      <w:r w:rsidR="009833D1" w:rsidRPr="00060D01">
        <w:rPr>
          <w:color w:val="auto"/>
          <w:lang w:val="en-GB"/>
        </w:rPr>
        <w:t>public welfare.</w:t>
      </w:r>
    </w:p>
    <w:p w14:paraId="55DA372A" w14:textId="7CA25928" w:rsidR="0031140C" w:rsidRPr="00060D01" w:rsidRDefault="00224FB6" w:rsidP="00A9160C">
      <w:pPr>
        <w:pStyle w:val="Heading3"/>
        <w:rPr>
          <w:rStyle w:val="eop"/>
          <w:rFonts w:cs="Arial Unicode MS"/>
          <w:szCs w:val="22"/>
          <w:lang w:val="en-GB"/>
        </w:rPr>
      </w:pPr>
      <w:r w:rsidRPr="00EC5C45">
        <w:rPr>
          <w:rStyle w:val="eop"/>
          <w:rFonts w:cs="Segoe UI"/>
          <w:szCs w:val="22"/>
          <w:lang w:val="en-GB"/>
        </w:rPr>
        <w:t>Barrier</w:t>
      </w:r>
      <w:r w:rsidR="0069201A" w:rsidRPr="00EC5C45">
        <w:rPr>
          <w:rStyle w:val="eop"/>
          <w:rFonts w:cs="Segoe UI"/>
          <w:szCs w:val="22"/>
          <w:lang w:val="en-GB"/>
        </w:rPr>
        <w:t>s</w:t>
      </w:r>
      <w:r w:rsidRPr="00EC5C45">
        <w:rPr>
          <w:rStyle w:val="eop"/>
          <w:rFonts w:cs="Segoe UI"/>
          <w:szCs w:val="22"/>
          <w:lang w:val="en-GB"/>
        </w:rPr>
        <w:t xml:space="preserve"> between </w:t>
      </w:r>
      <w:r w:rsidR="0069201A" w:rsidRPr="00EC5C45">
        <w:rPr>
          <w:rStyle w:val="eop"/>
          <w:rFonts w:cs="Segoe UI"/>
          <w:szCs w:val="22"/>
          <w:lang w:val="en-GB"/>
        </w:rPr>
        <w:t>Internet</w:t>
      </w:r>
      <w:r w:rsidRPr="00EC5C45">
        <w:rPr>
          <w:rStyle w:val="eop"/>
          <w:rFonts w:cs="Segoe UI"/>
          <w:szCs w:val="22"/>
          <w:lang w:val="en-GB"/>
        </w:rPr>
        <w:t xml:space="preserve"> access and </w:t>
      </w:r>
      <w:r w:rsidR="0069201A" w:rsidRPr="00EC5C45">
        <w:rPr>
          <w:rStyle w:val="eop"/>
          <w:rFonts w:cs="Segoe UI"/>
          <w:szCs w:val="22"/>
          <w:lang w:val="en-GB"/>
        </w:rPr>
        <w:t>Internet</w:t>
      </w:r>
      <w:r w:rsidRPr="00EC5C45">
        <w:rPr>
          <w:rStyle w:val="eop"/>
          <w:rFonts w:cs="Segoe UI"/>
          <w:szCs w:val="22"/>
          <w:lang w:val="en-GB"/>
        </w:rPr>
        <w:t xml:space="preserve"> usage</w:t>
      </w:r>
    </w:p>
    <w:p w14:paraId="18F6AF96" w14:textId="4B7987B7" w:rsidR="00FD482C" w:rsidRPr="00060D01" w:rsidRDefault="00224FB6" w:rsidP="00941D3F">
      <w:pPr>
        <w:pStyle w:val="Text"/>
        <w:rPr>
          <w:rStyle w:val="eop"/>
          <w:rFonts w:eastAsiaTheme="majorEastAsia" w:cs="Segoe UI"/>
          <w:color w:val="auto"/>
          <w:lang w:val="en-GB"/>
        </w:rPr>
      </w:pPr>
      <w:r w:rsidRPr="00EC5C45">
        <w:rPr>
          <w:rStyle w:val="eop"/>
          <w:rFonts w:eastAsiaTheme="majorEastAsia" w:cs="Segoe UI"/>
          <w:color w:val="auto"/>
          <w:lang w:val="en-GB"/>
        </w:rPr>
        <w:t xml:space="preserve">A </w:t>
      </w:r>
      <w:r w:rsidR="0081029C" w:rsidRPr="00EC5C45">
        <w:rPr>
          <w:rStyle w:val="eop"/>
          <w:rFonts w:eastAsiaTheme="majorEastAsia" w:cs="Segoe UI"/>
          <w:color w:val="auto"/>
          <w:lang w:val="en-GB"/>
        </w:rPr>
        <w:t xml:space="preserve">noted </w:t>
      </w:r>
      <w:r w:rsidRPr="00EC5C45">
        <w:rPr>
          <w:rStyle w:val="eop"/>
          <w:rFonts w:eastAsiaTheme="majorEastAsia" w:cs="Segoe UI"/>
          <w:color w:val="auto"/>
          <w:lang w:val="en-GB"/>
        </w:rPr>
        <w:t xml:space="preserve">barrier for using provided connectivity is </w:t>
      </w:r>
      <w:r w:rsidR="003C60A6" w:rsidRPr="00EC5C45">
        <w:rPr>
          <w:rStyle w:val="eop"/>
          <w:rFonts w:eastAsiaTheme="majorEastAsia" w:cs="Segoe UI"/>
          <w:color w:val="auto"/>
          <w:lang w:val="en-GB"/>
        </w:rPr>
        <w:t xml:space="preserve">lack of </w:t>
      </w:r>
      <w:r w:rsidRPr="00EC5C45">
        <w:rPr>
          <w:rStyle w:val="eop"/>
          <w:rFonts w:eastAsiaTheme="majorEastAsia" w:cs="Segoe UI"/>
          <w:color w:val="auto"/>
          <w:lang w:val="en-GB"/>
        </w:rPr>
        <w:t>digital literacy</w:t>
      </w:r>
      <w:r w:rsidR="003C60A6" w:rsidRPr="00EC5C45">
        <w:rPr>
          <w:rStyle w:val="eop"/>
          <w:rFonts w:eastAsiaTheme="majorEastAsia" w:cs="Segoe UI"/>
          <w:color w:val="auto"/>
          <w:lang w:val="en-GB"/>
        </w:rPr>
        <w:t xml:space="preserve"> skills</w:t>
      </w:r>
      <w:r w:rsidRPr="00EC5C45">
        <w:rPr>
          <w:rStyle w:val="eop"/>
          <w:rFonts w:eastAsiaTheme="majorEastAsia" w:cs="Segoe UI"/>
          <w:color w:val="auto"/>
          <w:lang w:val="en-GB"/>
        </w:rPr>
        <w:t xml:space="preserve">, i.e. a general </w:t>
      </w:r>
      <w:r w:rsidR="00982D9E" w:rsidRPr="00EC5C45">
        <w:rPr>
          <w:rStyle w:val="eop"/>
          <w:rFonts w:eastAsiaTheme="majorEastAsia" w:cs="Segoe UI"/>
          <w:color w:val="auto"/>
          <w:lang w:val="en-GB"/>
        </w:rPr>
        <w:t>knowledge</w:t>
      </w:r>
      <w:r w:rsidRPr="00EC5C45">
        <w:rPr>
          <w:rStyle w:val="eop"/>
          <w:rFonts w:eastAsiaTheme="majorEastAsia" w:cs="Segoe UI"/>
          <w:color w:val="auto"/>
          <w:lang w:val="en-GB"/>
        </w:rPr>
        <w:t xml:space="preserve"> of how to use ICT hardware as well as understanding what effect ICT will have on everyday life in terms of provided services (such as online banking, weather forecasts, </w:t>
      </w:r>
      <w:r w:rsidR="00F91686" w:rsidRPr="00EC5C45">
        <w:rPr>
          <w:rStyle w:val="eop"/>
          <w:rFonts w:eastAsiaTheme="majorEastAsia" w:cs="Segoe UI"/>
          <w:color w:val="auto"/>
          <w:lang w:val="en-GB"/>
        </w:rPr>
        <w:t>news, etc.)</w:t>
      </w:r>
    </w:p>
    <w:p w14:paraId="67DF9078" w14:textId="2EC06333" w:rsidR="004E1C56" w:rsidRPr="00060D01" w:rsidRDefault="00703BDF" w:rsidP="004E1C56">
      <w:pPr>
        <w:pStyle w:val="Text"/>
        <w:rPr>
          <w:color w:val="auto"/>
          <w:lang w:val="en-GB"/>
        </w:rPr>
      </w:pPr>
      <w:r w:rsidRPr="00060D01">
        <w:rPr>
          <w:color w:val="auto"/>
          <w:lang w:val="en-GB"/>
        </w:rPr>
        <w:t xml:space="preserve">If the </w:t>
      </w:r>
      <w:r w:rsidR="004E1C56" w:rsidRPr="00060D01">
        <w:rPr>
          <w:color w:val="auto"/>
          <w:lang w:val="en-GB"/>
        </w:rPr>
        <w:t xml:space="preserve">growth of </w:t>
      </w:r>
      <w:r w:rsidR="0069201A" w:rsidRPr="00060D01">
        <w:rPr>
          <w:color w:val="auto"/>
          <w:lang w:val="en-GB"/>
        </w:rPr>
        <w:t>Internet</w:t>
      </w:r>
      <w:r w:rsidR="004E1C56" w:rsidRPr="00060D01">
        <w:rPr>
          <w:color w:val="auto"/>
          <w:lang w:val="en-GB"/>
        </w:rPr>
        <w:t xml:space="preserve"> adoption is slowing down in some areas, </w:t>
      </w:r>
      <w:r w:rsidR="0081029C" w:rsidRPr="00060D01">
        <w:rPr>
          <w:color w:val="auto"/>
          <w:lang w:val="en-GB"/>
        </w:rPr>
        <w:t xml:space="preserve">notably </w:t>
      </w:r>
      <w:r w:rsidR="004E1C56" w:rsidRPr="00060D01">
        <w:rPr>
          <w:color w:val="auto"/>
          <w:lang w:val="en-GB"/>
        </w:rPr>
        <w:t xml:space="preserve">as broadband services extend to more remote, less densely populated areas </w:t>
      </w:r>
      <w:r w:rsidR="0081029C" w:rsidRPr="00060D01">
        <w:rPr>
          <w:color w:val="auto"/>
          <w:lang w:val="en-GB"/>
        </w:rPr>
        <w:t>where the increasing costs of building connections are not matched by potential returns on investment for private companies</w:t>
      </w:r>
      <w:r w:rsidR="004E1C56" w:rsidRPr="00060D01">
        <w:rPr>
          <w:color w:val="auto"/>
          <w:lang w:val="en-GB"/>
        </w:rPr>
        <w:t xml:space="preserve">, it is very important to define the barriers or limitations preventing people who </w:t>
      </w:r>
      <w:r w:rsidR="004E1C56" w:rsidRPr="00060D01">
        <w:rPr>
          <w:i/>
          <w:color w:val="auto"/>
          <w:lang w:val="en-GB"/>
        </w:rPr>
        <w:t>do</w:t>
      </w:r>
      <w:r w:rsidR="004E1C56" w:rsidRPr="00060D01">
        <w:rPr>
          <w:color w:val="auto"/>
          <w:lang w:val="en-GB"/>
        </w:rPr>
        <w:t xml:space="preserve"> have </w:t>
      </w:r>
      <w:r w:rsidR="0069201A" w:rsidRPr="00060D01">
        <w:rPr>
          <w:color w:val="auto"/>
          <w:lang w:val="en-GB"/>
        </w:rPr>
        <w:t>Internet</w:t>
      </w:r>
      <w:r w:rsidR="004E1C56" w:rsidRPr="00060D01">
        <w:rPr>
          <w:color w:val="auto"/>
          <w:lang w:val="en-GB"/>
        </w:rPr>
        <w:t xml:space="preserve"> access from being enabled or empowered through such connectivity. </w:t>
      </w:r>
    </w:p>
    <w:p w14:paraId="06B640DC" w14:textId="25AA70DF" w:rsidR="004E1C56" w:rsidRPr="00060D01" w:rsidRDefault="00703BDF" w:rsidP="004E1C56">
      <w:pPr>
        <w:pStyle w:val="Text"/>
        <w:rPr>
          <w:color w:val="auto"/>
          <w:lang w:val="en-GB"/>
        </w:rPr>
      </w:pPr>
      <w:r w:rsidRPr="00060D01">
        <w:rPr>
          <w:color w:val="auto"/>
          <w:lang w:val="en-GB"/>
        </w:rPr>
        <w:t>It</w:t>
      </w:r>
      <w:r w:rsidR="004E1C56" w:rsidRPr="00060D01">
        <w:rPr>
          <w:color w:val="auto"/>
          <w:lang w:val="en-GB"/>
        </w:rPr>
        <w:t xml:space="preserve"> </w:t>
      </w:r>
      <w:r w:rsidR="004E1C56" w:rsidRPr="00060D01">
        <w:rPr>
          <w:i/>
          <w:color w:val="auto"/>
          <w:lang w:val="en-GB"/>
        </w:rPr>
        <w:t>must</w:t>
      </w:r>
      <w:r w:rsidR="004E1C56" w:rsidRPr="00060D01">
        <w:rPr>
          <w:color w:val="auto"/>
          <w:lang w:val="en-GB"/>
        </w:rPr>
        <w:t xml:space="preserve"> be taken into account that </w:t>
      </w:r>
      <w:r w:rsidRPr="00060D01">
        <w:rPr>
          <w:color w:val="auto"/>
          <w:lang w:val="en-GB"/>
        </w:rPr>
        <w:t>mobile phones</w:t>
      </w:r>
      <w:r w:rsidR="004E1C56" w:rsidRPr="00060D01">
        <w:rPr>
          <w:color w:val="auto"/>
          <w:lang w:val="en-GB"/>
        </w:rPr>
        <w:t xml:space="preserve"> are not </w:t>
      </w:r>
      <w:r w:rsidR="0081029C" w:rsidRPr="00060D01">
        <w:rPr>
          <w:color w:val="auto"/>
          <w:lang w:val="en-GB"/>
        </w:rPr>
        <w:t xml:space="preserve">a </w:t>
      </w:r>
      <w:r w:rsidR="004E1C56" w:rsidRPr="00060D01">
        <w:rPr>
          <w:color w:val="auto"/>
          <w:lang w:val="en-GB"/>
        </w:rPr>
        <w:t>sufficient connection in these areas. Fi</w:t>
      </w:r>
      <w:r w:rsidR="000E27D1" w:rsidRPr="00060D01">
        <w:rPr>
          <w:color w:val="auto"/>
          <w:lang w:val="en-GB"/>
        </w:rPr>
        <w:t>rstly, not</w:t>
      </w:r>
      <w:r w:rsidR="004E1C56" w:rsidRPr="00060D01">
        <w:rPr>
          <w:color w:val="auto"/>
          <w:lang w:val="en-GB"/>
        </w:rPr>
        <w:t xml:space="preserve"> enough peop</w:t>
      </w:r>
      <w:r w:rsidR="000E27D1" w:rsidRPr="00060D01">
        <w:rPr>
          <w:color w:val="auto"/>
          <w:lang w:val="en-GB"/>
        </w:rPr>
        <w:t>le that have them, and secondly, phones</w:t>
      </w:r>
      <w:r w:rsidR="004E1C56" w:rsidRPr="00060D01">
        <w:rPr>
          <w:color w:val="auto"/>
          <w:lang w:val="en-GB"/>
        </w:rPr>
        <w:t xml:space="preserve"> do</w:t>
      </w:r>
      <w:r w:rsidR="009A62D1" w:rsidRPr="00060D01">
        <w:rPr>
          <w:color w:val="auto"/>
          <w:lang w:val="en-GB"/>
        </w:rPr>
        <w:t xml:space="preserve"> not</w:t>
      </w:r>
      <w:r w:rsidR="004E1C56" w:rsidRPr="00060D01">
        <w:rPr>
          <w:color w:val="auto"/>
          <w:lang w:val="en-GB"/>
        </w:rPr>
        <w:t xml:space="preserve"> provide sufficient access to do such things as start a business or look for a job.</w:t>
      </w:r>
    </w:p>
    <w:p w14:paraId="394DF2D4" w14:textId="0FB1F7AD" w:rsidR="003C60A6" w:rsidRPr="00060D01" w:rsidRDefault="003C60A6" w:rsidP="00941D3F">
      <w:pPr>
        <w:pStyle w:val="Text"/>
        <w:rPr>
          <w:color w:val="auto"/>
          <w:lang w:val="en-GB"/>
        </w:rPr>
      </w:pPr>
      <w:r w:rsidRPr="00EC5C45">
        <w:rPr>
          <w:rStyle w:val="eop"/>
          <w:rFonts w:eastAsiaTheme="majorEastAsia" w:cs="Segoe UI"/>
          <w:color w:val="auto"/>
          <w:lang w:val="en-GB"/>
        </w:rPr>
        <w:t xml:space="preserve">The digital divide was recognised as early as 1985, in an </w:t>
      </w:r>
      <w:r w:rsidR="0094240D" w:rsidRPr="00EC5C45">
        <w:rPr>
          <w:rStyle w:val="eop"/>
          <w:rFonts w:eastAsiaTheme="majorEastAsia" w:cs="Segoe UI"/>
          <w:color w:val="auto"/>
          <w:lang w:val="en-GB"/>
        </w:rPr>
        <w:t>International Telecommunication Union (</w:t>
      </w:r>
      <w:r w:rsidRPr="00EC5C45">
        <w:rPr>
          <w:rStyle w:val="eop"/>
          <w:rFonts w:eastAsiaTheme="majorEastAsia" w:cs="Segoe UI"/>
          <w:color w:val="auto"/>
          <w:lang w:val="en-GB"/>
        </w:rPr>
        <w:t>ITU</w:t>
      </w:r>
      <w:r w:rsidR="0094240D" w:rsidRPr="00EC5C45">
        <w:rPr>
          <w:rStyle w:val="eop"/>
          <w:rFonts w:eastAsiaTheme="majorEastAsia" w:cs="Segoe UI"/>
          <w:color w:val="auto"/>
          <w:lang w:val="en-GB"/>
        </w:rPr>
        <w:t>)</w:t>
      </w:r>
      <w:r w:rsidR="000944FD" w:rsidRPr="00EC5C45">
        <w:rPr>
          <w:rStyle w:val="eop"/>
          <w:rFonts w:eastAsiaTheme="majorEastAsia" w:cs="Segoe UI"/>
          <w:color w:val="auto"/>
          <w:lang w:val="en-GB"/>
        </w:rPr>
        <w:t xml:space="preserve"> report on world</w:t>
      </w:r>
      <w:r w:rsidRPr="00EC5C45">
        <w:rPr>
          <w:rStyle w:val="eop"/>
          <w:rFonts w:eastAsiaTheme="majorEastAsia" w:cs="Segoe UI"/>
          <w:color w:val="auto"/>
          <w:lang w:val="en-GB"/>
        </w:rPr>
        <w:t xml:space="preserve">wide </w:t>
      </w:r>
      <w:r w:rsidR="0094240D" w:rsidRPr="00EC5C45">
        <w:rPr>
          <w:rStyle w:val="eop"/>
          <w:rFonts w:eastAsiaTheme="majorEastAsia" w:cs="Segoe UI"/>
          <w:color w:val="auto"/>
          <w:lang w:val="en-GB"/>
        </w:rPr>
        <w:t>telecommunication</w:t>
      </w:r>
      <w:r w:rsidRPr="00EC5C45">
        <w:rPr>
          <w:rStyle w:val="eop"/>
          <w:rFonts w:eastAsiaTheme="majorEastAsia" w:cs="Segoe UI"/>
          <w:color w:val="auto"/>
          <w:lang w:val="en-GB"/>
        </w:rPr>
        <w:t>,</w:t>
      </w:r>
      <w:r w:rsidRPr="00EC5C45">
        <w:rPr>
          <w:rStyle w:val="FootnoteReference"/>
          <w:rFonts w:eastAsiaTheme="majorEastAsia" w:cs="Segoe UI"/>
          <w:color w:val="auto"/>
          <w:lang w:val="en-GB"/>
        </w:rPr>
        <w:footnoteReference w:id="2"/>
      </w:r>
      <w:r w:rsidRPr="00EC5C45">
        <w:rPr>
          <w:rStyle w:val="eop"/>
          <w:rFonts w:eastAsiaTheme="majorEastAsia" w:cs="Segoe UI"/>
          <w:color w:val="auto"/>
          <w:lang w:val="en-GB"/>
        </w:rPr>
        <w:t xml:space="preserve"> and a</w:t>
      </w:r>
      <w:r w:rsidRPr="00060D01">
        <w:rPr>
          <w:color w:val="auto"/>
          <w:lang w:val="en-GB"/>
        </w:rPr>
        <w:t>s David Souter puts it: “</w:t>
      </w:r>
      <w:r w:rsidRPr="00060D01">
        <w:rPr>
          <w:i/>
          <w:color w:val="auto"/>
          <w:lang w:val="en-GB"/>
        </w:rPr>
        <w:t xml:space="preserve">We should recognise that new technologies will keep changing the nature of digital divides, making gaps between </w:t>
      </w:r>
      <w:r w:rsidRPr="00060D01">
        <w:rPr>
          <w:rStyle w:val="caps"/>
          <w:i/>
          <w:color w:val="auto"/>
          <w:lang w:val="en-GB"/>
        </w:rPr>
        <w:t>ICT</w:t>
      </w:r>
      <w:r w:rsidRPr="00060D01">
        <w:rPr>
          <w:i/>
          <w:color w:val="auto"/>
          <w:lang w:val="en-GB"/>
        </w:rPr>
        <w:t xml:space="preserve">-rich and </w:t>
      </w:r>
      <w:r w:rsidRPr="00060D01">
        <w:rPr>
          <w:rStyle w:val="caps"/>
          <w:i/>
          <w:color w:val="auto"/>
          <w:lang w:val="en-GB"/>
        </w:rPr>
        <w:t>ICT</w:t>
      </w:r>
      <w:r w:rsidRPr="00060D01">
        <w:rPr>
          <w:i/>
          <w:color w:val="auto"/>
          <w:lang w:val="en-GB"/>
        </w:rPr>
        <w:t xml:space="preserve">-poor very hard to bridge. The other side of the digital divide is not static; it’s moving every day as new technology’s deployed and fresher innovations are adopted in wealthier societies. </w:t>
      </w:r>
      <w:r w:rsidRPr="00060D01">
        <w:rPr>
          <w:rStyle w:val="caps"/>
          <w:i/>
          <w:color w:val="auto"/>
          <w:lang w:val="en-GB"/>
        </w:rPr>
        <w:t>ICT</w:t>
      </w:r>
      <w:r w:rsidRPr="00060D01">
        <w:rPr>
          <w:i/>
          <w:color w:val="auto"/>
          <w:lang w:val="en-GB"/>
        </w:rPr>
        <w:t xml:space="preserve"> strategies need to recognise that the bridge they’re building may never be completed – and that that’s why it’s important to keep building.</w:t>
      </w:r>
      <w:r w:rsidRPr="00060D01">
        <w:rPr>
          <w:color w:val="auto"/>
          <w:lang w:val="en-GB"/>
        </w:rPr>
        <w:t>”</w:t>
      </w:r>
      <w:r w:rsidR="00B4128E" w:rsidRPr="00060D01">
        <w:rPr>
          <w:rStyle w:val="FootnoteReference"/>
          <w:color w:val="auto"/>
          <w:lang w:val="en-GB"/>
        </w:rPr>
        <w:footnoteReference w:id="3"/>
      </w:r>
    </w:p>
    <w:p w14:paraId="3B3FD45F" w14:textId="16B8F095" w:rsidR="004E1C56" w:rsidRPr="00060D01" w:rsidRDefault="00FD482C" w:rsidP="00941D3F">
      <w:pPr>
        <w:pStyle w:val="Text"/>
        <w:rPr>
          <w:rStyle w:val="eop"/>
          <w:rFonts w:eastAsiaTheme="majorEastAsia" w:cs="Segoe UI"/>
          <w:color w:val="auto"/>
          <w:lang w:val="en-GB"/>
        </w:rPr>
      </w:pPr>
      <w:r w:rsidRPr="00EC5C45">
        <w:rPr>
          <w:rStyle w:val="eop"/>
          <w:rFonts w:eastAsiaTheme="majorEastAsia" w:cs="Segoe UI"/>
          <w:color w:val="auto"/>
          <w:lang w:val="en-GB"/>
        </w:rPr>
        <w:lastRenderedPageBreak/>
        <w:t xml:space="preserve">The digital divide will not cease to exist, but the gap can be </w:t>
      </w:r>
      <w:r w:rsidR="009A62D1" w:rsidRPr="00EC5C45">
        <w:rPr>
          <w:rStyle w:val="eop"/>
          <w:rFonts w:eastAsiaTheme="majorEastAsia" w:cs="Segoe UI"/>
          <w:color w:val="auto"/>
          <w:lang w:val="en-GB"/>
        </w:rPr>
        <w:t>narrowed, with the help of libraries</w:t>
      </w:r>
      <w:r w:rsidRPr="00EC5C45">
        <w:rPr>
          <w:rStyle w:val="eop"/>
          <w:rFonts w:eastAsiaTheme="majorEastAsia" w:cs="Segoe UI"/>
          <w:color w:val="auto"/>
          <w:lang w:val="en-GB"/>
        </w:rPr>
        <w:t>.</w:t>
      </w:r>
      <w:r w:rsidR="00224FB6" w:rsidRPr="00EC5C45">
        <w:rPr>
          <w:rStyle w:val="eop"/>
          <w:rFonts w:eastAsiaTheme="majorEastAsia" w:cs="Segoe UI"/>
          <w:color w:val="auto"/>
          <w:lang w:val="en-GB"/>
        </w:rPr>
        <w:t xml:space="preserve"> One example of</w:t>
      </w:r>
      <w:r w:rsidRPr="00EC5C45">
        <w:rPr>
          <w:rStyle w:val="eop"/>
          <w:rFonts w:eastAsiaTheme="majorEastAsia" w:cs="Segoe UI"/>
          <w:color w:val="auto"/>
          <w:lang w:val="en-GB"/>
        </w:rPr>
        <w:t xml:space="preserve"> increasing the</w:t>
      </w:r>
      <w:r w:rsidR="00224FB6" w:rsidRPr="00EC5C45">
        <w:rPr>
          <w:rStyle w:val="eop"/>
          <w:rFonts w:eastAsiaTheme="majorEastAsia" w:cs="Segoe UI"/>
          <w:color w:val="auto"/>
          <w:lang w:val="en-GB"/>
        </w:rPr>
        <w:t xml:space="preserve"> digital literacy </w:t>
      </w:r>
      <w:r w:rsidRPr="00EC5C45">
        <w:rPr>
          <w:rStyle w:val="eop"/>
          <w:rFonts w:eastAsiaTheme="majorEastAsia" w:cs="Segoe UI"/>
          <w:color w:val="auto"/>
          <w:lang w:val="en-GB"/>
        </w:rPr>
        <w:t xml:space="preserve">of citizens </w:t>
      </w:r>
      <w:r w:rsidR="00863C0C" w:rsidRPr="00EC5C45">
        <w:rPr>
          <w:rStyle w:val="eop"/>
          <w:rFonts w:eastAsiaTheme="majorEastAsia" w:cs="Segoe UI"/>
          <w:color w:val="auto"/>
          <w:lang w:val="en-GB"/>
        </w:rPr>
        <w:t xml:space="preserve">– </w:t>
      </w:r>
      <w:r w:rsidR="00224FB6" w:rsidRPr="00EC5C45">
        <w:rPr>
          <w:rStyle w:val="eop"/>
          <w:rFonts w:eastAsiaTheme="majorEastAsia" w:cs="Segoe UI"/>
          <w:color w:val="auto"/>
          <w:lang w:val="en-GB"/>
        </w:rPr>
        <w:t>resulting</w:t>
      </w:r>
      <w:r w:rsidR="00863C0C" w:rsidRPr="00EC5C45">
        <w:rPr>
          <w:rStyle w:val="eop"/>
          <w:rFonts w:eastAsiaTheme="majorEastAsia" w:cs="Segoe UI"/>
          <w:color w:val="auto"/>
          <w:lang w:val="en-GB"/>
        </w:rPr>
        <w:t xml:space="preserve"> </w:t>
      </w:r>
      <w:r w:rsidR="00224FB6" w:rsidRPr="00EC5C45">
        <w:rPr>
          <w:rStyle w:val="eop"/>
          <w:rFonts w:eastAsiaTheme="majorEastAsia" w:cs="Segoe UI"/>
          <w:color w:val="auto"/>
          <w:lang w:val="en-GB"/>
        </w:rPr>
        <w:t>in digital inclusion</w:t>
      </w:r>
      <w:r w:rsidR="00863C0C" w:rsidRPr="00EC5C45">
        <w:rPr>
          <w:rStyle w:val="eop"/>
          <w:rFonts w:eastAsiaTheme="majorEastAsia" w:cs="Segoe UI"/>
          <w:color w:val="auto"/>
          <w:lang w:val="en-GB"/>
        </w:rPr>
        <w:t xml:space="preserve"> –</w:t>
      </w:r>
      <w:r w:rsidR="00224FB6" w:rsidRPr="00EC5C45">
        <w:rPr>
          <w:rStyle w:val="eop"/>
          <w:rFonts w:eastAsiaTheme="majorEastAsia" w:cs="Segoe UI"/>
          <w:color w:val="auto"/>
          <w:lang w:val="en-GB"/>
        </w:rPr>
        <w:t xml:space="preserve"> is</w:t>
      </w:r>
      <w:r w:rsidR="00863C0C" w:rsidRPr="00EC5C45">
        <w:rPr>
          <w:rStyle w:val="eop"/>
          <w:rFonts w:eastAsiaTheme="majorEastAsia" w:cs="Segoe UI"/>
          <w:color w:val="auto"/>
          <w:lang w:val="en-GB"/>
        </w:rPr>
        <w:t xml:space="preserve"> </w:t>
      </w:r>
      <w:r w:rsidR="00224FB6" w:rsidRPr="00EC5C45">
        <w:rPr>
          <w:rStyle w:val="eop"/>
          <w:rFonts w:eastAsiaTheme="majorEastAsia" w:cs="Segoe UI"/>
          <w:color w:val="auto"/>
          <w:lang w:val="en-GB"/>
        </w:rPr>
        <w:t>Indonesia, where 82% of public library users increased their use of technology as a result of library services.</w:t>
      </w:r>
      <w:r w:rsidR="00A84850" w:rsidRPr="00EC5C45">
        <w:rPr>
          <w:rStyle w:val="FootnoteReference"/>
          <w:rFonts w:eastAsiaTheme="majorEastAsia" w:cs="Segoe UI"/>
          <w:color w:val="auto"/>
          <w:lang w:val="en-GB"/>
        </w:rPr>
        <w:footnoteReference w:id="4"/>
      </w:r>
    </w:p>
    <w:p w14:paraId="576A0E9C" w14:textId="5335AC65" w:rsidR="006A7DF4" w:rsidRPr="00EC5C45" w:rsidRDefault="00B93DF7" w:rsidP="00941D3F">
      <w:pPr>
        <w:pStyle w:val="Heading3"/>
        <w:rPr>
          <w:lang w:val="en-GB"/>
        </w:rPr>
      </w:pPr>
      <w:r w:rsidRPr="00EC5C45">
        <w:rPr>
          <w:lang w:val="en-GB"/>
        </w:rPr>
        <w:t>Libraries, ICTS</w:t>
      </w:r>
      <w:r w:rsidR="00563068" w:rsidRPr="00EC5C45">
        <w:rPr>
          <w:lang w:val="en-GB"/>
        </w:rPr>
        <w:t xml:space="preserve"> and</w:t>
      </w:r>
      <w:r w:rsidR="006A7DF4" w:rsidRPr="00EC5C45">
        <w:rPr>
          <w:lang w:val="en-GB"/>
        </w:rPr>
        <w:t xml:space="preserve"> the SDGs</w:t>
      </w:r>
    </w:p>
    <w:p w14:paraId="1ABF68A4" w14:textId="53BEB3B4" w:rsidR="00563068" w:rsidRPr="00060D01" w:rsidRDefault="00563068" w:rsidP="00971855">
      <w:pPr>
        <w:pStyle w:val="Text"/>
        <w:rPr>
          <w:rStyle w:val="eop"/>
          <w:rFonts w:eastAsiaTheme="majorEastAsia" w:cs="Segoe UI"/>
          <w:color w:val="auto"/>
          <w:lang w:val="en-GB"/>
        </w:rPr>
      </w:pPr>
      <w:r w:rsidRPr="00EC5C45">
        <w:rPr>
          <w:rStyle w:val="eop"/>
          <w:rFonts w:eastAsiaTheme="majorEastAsia" w:cs="Segoe UI"/>
          <w:color w:val="auto"/>
          <w:lang w:val="en-GB"/>
        </w:rPr>
        <w:t xml:space="preserve">First and foremost, access to information has been recognised in the </w:t>
      </w:r>
      <w:r w:rsidR="00703BDF" w:rsidRPr="00EC5C45">
        <w:rPr>
          <w:rStyle w:val="eop"/>
          <w:rFonts w:eastAsiaTheme="majorEastAsia" w:cs="Segoe UI"/>
          <w:color w:val="auto"/>
          <w:lang w:val="en-GB"/>
        </w:rPr>
        <w:t>United Nations Sustainable Development Goals (</w:t>
      </w:r>
      <w:r w:rsidRPr="00EC5C45">
        <w:rPr>
          <w:rStyle w:val="eop"/>
          <w:rFonts w:eastAsiaTheme="majorEastAsia" w:cs="Segoe UI"/>
          <w:color w:val="auto"/>
          <w:lang w:val="en-GB"/>
        </w:rPr>
        <w:t>SDGs</w:t>
      </w:r>
      <w:r w:rsidR="00703BDF" w:rsidRPr="00EC5C45">
        <w:rPr>
          <w:rStyle w:val="eop"/>
          <w:rFonts w:eastAsiaTheme="majorEastAsia" w:cs="Segoe UI"/>
          <w:color w:val="auto"/>
          <w:lang w:val="en-GB"/>
        </w:rPr>
        <w:t>)</w:t>
      </w:r>
      <w:r w:rsidRPr="00EC5C45">
        <w:rPr>
          <w:rStyle w:val="eop"/>
          <w:rFonts w:eastAsiaTheme="majorEastAsia" w:cs="Segoe UI"/>
          <w:color w:val="auto"/>
          <w:lang w:val="en-GB"/>
        </w:rPr>
        <w:t xml:space="preserve"> as a target under Goal 16.10:</w:t>
      </w:r>
      <w:r w:rsidRPr="00EC5C45">
        <w:rPr>
          <w:rStyle w:val="eop"/>
          <w:rFonts w:eastAsiaTheme="majorEastAsia" w:cs="Segoe UI"/>
          <w:i/>
          <w:color w:val="auto"/>
          <w:lang w:val="en-GB"/>
        </w:rPr>
        <w:t xml:space="preserve"> Ensure public access to information and protect fundamental freedoms, in accordance with national legislation and international agreements.</w:t>
      </w:r>
      <w:r w:rsidR="00DD08ED" w:rsidRPr="00EC5C45">
        <w:rPr>
          <w:rStyle w:val="eop"/>
          <w:rFonts w:eastAsiaTheme="majorEastAsia" w:cs="Segoe UI"/>
          <w:color w:val="auto"/>
          <w:lang w:val="en-GB"/>
        </w:rPr>
        <w:t xml:space="preserve"> Increasing access to ICTs will be crucial to ensuring public access to information. </w:t>
      </w:r>
    </w:p>
    <w:p w14:paraId="3C4DE00A" w14:textId="77092F54" w:rsidR="00D57E92" w:rsidRPr="00EC5C45" w:rsidRDefault="00D57E92" w:rsidP="00D57E92">
      <w:pPr>
        <w:pStyle w:val="Text"/>
        <w:rPr>
          <w:color w:val="auto"/>
          <w:lang w:val="en-GB"/>
        </w:rPr>
      </w:pPr>
      <w:r w:rsidRPr="00060D01">
        <w:rPr>
          <w:rFonts w:eastAsia="Calibri" w:cs="Calibri"/>
          <w:color w:val="auto"/>
          <w:lang w:val="en-GB"/>
        </w:rPr>
        <w:t>The Beyond Access initiative and the Electronic Information for Libraries (EIFL) Public Library Innovation Programme show that libraries are partnering with development practitioners and donor agencies to deliver policy objectives in the areas of literacy, education, emp</w:t>
      </w:r>
      <w:r w:rsidR="0094240D" w:rsidRPr="00060D01">
        <w:rPr>
          <w:rFonts w:eastAsia="Calibri" w:cs="Calibri"/>
          <w:color w:val="auto"/>
          <w:lang w:val="en-GB"/>
        </w:rPr>
        <w:t>loyment, agriculture and health.</w:t>
      </w:r>
      <w:r w:rsidR="00EE5993" w:rsidRPr="00060D01">
        <w:rPr>
          <w:rStyle w:val="FootnoteReference"/>
          <w:rFonts w:eastAsia="Calibri" w:cs="Calibri"/>
          <w:color w:val="auto"/>
          <w:lang w:val="en-GB"/>
        </w:rPr>
        <w:footnoteReference w:id="5"/>
      </w:r>
      <w:r w:rsidR="0094240D" w:rsidRPr="00060D01">
        <w:rPr>
          <w:rFonts w:eastAsia="Calibri" w:cs="Calibri"/>
          <w:color w:val="auto"/>
          <w:lang w:val="en-GB"/>
        </w:rPr>
        <w:t xml:space="preserve"> This is a good example of the work libraries can undertake to support development projects. </w:t>
      </w:r>
    </w:p>
    <w:p w14:paraId="3C1E199F" w14:textId="17F163F7" w:rsidR="00563068" w:rsidRPr="00EC5C45" w:rsidRDefault="00563068" w:rsidP="00971855">
      <w:pPr>
        <w:pStyle w:val="Text"/>
        <w:rPr>
          <w:rStyle w:val="eop"/>
          <w:rFonts w:eastAsiaTheme="majorEastAsia" w:cs="Segoe UI"/>
          <w:color w:val="auto"/>
          <w:lang w:val="en-GB"/>
        </w:rPr>
      </w:pPr>
      <w:r w:rsidRPr="00EC5C45">
        <w:rPr>
          <w:rStyle w:val="eop"/>
          <w:rFonts w:eastAsiaTheme="majorEastAsia" w:cs="Segoe UI"/>
          <w:color w:val="auto"/>
          <w:lang w:val="en-GB"/>
        </w:rPr>
        <w:t>The vision for the UN 2030 Agenda includes universal literacy,</w:t>
      </w:r>
      <w:r w:rsidRPr="00EC5C45">
        <w:rPr>
          <w:rStyle w:val="FootnoteReference"/>
          <w:rFonts w:eastAsiaTheme="majorEastAsia" w:cs="Segoe UI"/>
          <w:color w:val="auto"/>
          <w:lang w:val="en-GB"/>
        </w:rPr>
        <w:footnoteReference w:id="6"/>
      </w:r>
      <w:r w:rsidRPr="00EC5C45">
        <w:rPr>
          <w:rStyle w:val="eop"/>
          <w:rFonts w:eastAsiaTheme="majorEastAsia" w:cs="Segoe UI"/>
          <w:color w:val="auto"/>
          <w:lang w:val="en-GB"/>
        </w:rPr>
        <w:t xml:space="preserve"> and worldwide 320,000 public </w:t>
      </w:r>
      <w:r w:rsidRPr="00060D01">
        <w:rPr>
          <w:rStyle w:val="eop"/>
          <w:color w:val="auto"/>
          <w:lang w:val="en-GB"/>
        </w:rPr>
        <w:t>libraries</w:t>
      </w:r>
      <w:r w:rsidRPr="00EC5C45">
        <w:rPr>
          <w:rStyle w:val="eop"/>
          <w:rFonts w:eastAsiaTheme="majorEastAsia" w:cs="Segoe UI"/>
          <w:color w:val="auto"/>
          <w:lang w:val="en-GB"/>
        </w:rPr>
        <w:t xml:space="preserve"> (</w:t>
      </w:r>
      <w:r w:rsidRPr="00EC5C45">
        <w:rPr>
          <w:color w:val="auto"/>
          <w:lang w:val="en-GB"/>
        </w:rPr>
        <w:t>73 percent of them in developing and transitioning countries)</w:t>
      </w:r>
      <w:r w:rsidRPr="00EC5C45">
        <w:rPr>
          <w:rStyle w:val="eop"/>
          <w:rFonts w:eastAsiaTheme="majorEastAsia" w:cs="Segoe UI"/>
          <w:color w:val="auto"/>
          <w:lang w:val="en-GB"/>
        </w:rPr>
        <w:t xml:space="preserve"> and more than a million parliamentary, national, university, research, school, and special libraries ensure that information and the skills to use it are available to everyone, making them critical institutions for all in the digital age.</w:t>
      </w:r>
      <w:r w:rsidRPr="00EC5C45">
        <w:rPr>
          <w:rStyle w:val="FootnoteReference"/>
          <w:rFonts w:eastAsiaTheme="majorEastAsia" w:cs="Segoe UI"/>
          <w:color w:val="auto"/>
          <w:lang w:val="en-GB"/>
        </w:rPr>
        <w:footnoteReference w:id="7"/>
      </w:r>
    </w:p>
    <w:p w14:paraId="69C9AB85" w14:textId="77777777" w:rsidR="00563068" w:rsidRPr="00EC5C45" w:rsidRDefault="00B0710A" w:rsidP="00971855">
      <w:pPr>
        <w:pStyle w:val="Heading3"/>
        <w:rPr>
          <w:lang w:val="en-GB"/>
        </w:rPr>
      </w:pPr>
      <w:r w:rsidRPr="00EC5C45">
        <w:rPr>
          <w:lang w:val="en-GB"/>
        </w:rPr>
        <w:t>SDG 1: Reducing Poverty</w:t>
      </w:r>
    </w:p>
    <w:p w14:paraId="78C60772" w14:textId="1647F6A5" w:rsidR="00B0710A" w:rsidRPr="00060D01" w:rsidRDefault="00B0710A" w:rsidP="00971855">
      <w:pPr>
        <w:pStyle w:val="Text"/>
        <w:rPr>
          <w:rStyle w:val="eop"/>
          <w:rFonts w:eastAsiaTheme="majorEastAsia" w:cs="Segoe UI"/>
          <w:color w:val="auto"/>
          <w:lang w:val="en-GB"/>
        </w:rPr>
      </w:pPr>
      <w:r w:rsidRPr="00EC5C45">
        <w:rPr>
          <w:rStyle w:val="eop"/>
          <w:rFonts w:eastAsiaTheme="majorEastAsia" w:cs="Segoe UI"/>
          <w:color w:val="auto"/>
          <w:lang w:val="en-GB"/>
        </w:rPr>
        <w:t xml:space="preserve">In Slovenia, the Ljubljana City Library hosts an Employment Information Service (EIS) which </w:t>
      </w:r>
      <w:r w:rsidR="00D53ECD" w:rsidRPr="00EC5C45">
        <w:rPr>
          <w:rStyle w:val="eop"/>
          <w:rFonts w:eastAsiaTheme="majorEastAsia" w:cs="Segoe UI"/>
          <w:color w:val="auto"/>
          <w:lang w:val="en-GB"/>
        </w:rPr>
        <w:t>helps around 1</w:t>
      </w:r>
      <w:r w:rsidR="00FB5CE2" w:rsidRPr="00EC5C45">
        <w:rPr>
          <w:rStyle w:val="eop"/>
          <w:rFonts w:eastAsiaTheme="majorEastAsia" w:cs="Segoe UI"/>
          <w:color w:val="auto"/>
          <w:lang w:val="en-GB"/>
        </w:rPr>
        <w:t>,</w:t>
      </w:r>
      <w:r w:rsidR="00D53ECD" w:rsidRPr="00EC5C45">
        <w:rPr>
          <w:rStyle w:val="eop"/>
          <w:rFonts w:eastAsiaTheme="majorEastAsia" w:cs="Segoe UI"/>
          <w:color w:val="auto"/>
          <w:lang w:val="en-GB"/>
        </w:rPr>
        <w:t>200 people a year (</w:t>
      </w:r>
      <w:r w:rsidRPr="00EC5C45">
        <w:rPr>
          <w:rStyle w:val="eop"/>
          <w:rFonts w:eastAsiaTheme="majorEastAsia" w:cs="Segoe UI"/>
          <w:color w:val="auto"/>
          <w:lang w:val="en-GB"/>
        </w:rPr>
        <w:t>many of whom are homeless or receiving social ben</w:t>
      </w:r>
      <w:r w:rsidR="00D53ECD" w:rsidRPr="00EC5C45">
        <w:rPr>
          <w:rStyle w:val="eop"/>
          <w:rFonts w:eastAsiaTheme="majorEastAsia" w:cs="Segoe UI"/>
          <w:color w:val="auto"/>
          <w:lang w:val="en-GB"/>
        </w:rPr>
        <w:t>efits)</w:t>
      </w:r>
      <w:r w:rsidRPr="00EC5C45">
        <w:rPr>
          <w:rStyle w:val="eop"/>
          <w:rFonts w:eastAsiaTheme="majorEastAsia" w:cs="Segoe UI"/>
          <w:color w:val="auto"/>
          <w:lang w:val="en-GB"/>
        </w:rPr>
        <w:t xml:space="preserve"> to</w:t>
      </w:r>
      <w:r w:rsidR="00EC5C45" w:rsidRPr="00EC5C45">
        <w:rPr>
          <w:rStyle w:val="eop"/>
          <w:rFonts w:eastAsiaTheme="majorEastAsia" w:cs="Segoe UI"/>
          <w:color w:val="auto"/>
          <w:lang w:val="en-GB"/>
        </w:rPr>
        <w:t xml:space="preserve"> develop their CVs and</w:t>
      </w:r>
      <w:r w:rsidRPr="00EC5C45">
        <w:rPr>
          <w:rStyle w:val="eop"/>
          <w:rFonts w:eastAsiaTheme="majorEastAsia" w:cs="Segoe UI"/>
          <w:color w:val="auto"/>
          <w:lang w:val="en-GB"/>
        </w:rPr>
        <w:t xml:space="preserve"> find</w:t>
      </w:r>
      <w:r w:rsidR="00EC5C45" w:rsidRPr="00EC5C45">
        <w:rPr>
          <w:rStyle w:val="eop"/>
          <w:rFonts w:eastAsiaTheme="majorEastAsia" w:cs="Segoe UI"/>
          <w:color w:val="auto"/>
          <w:lang w:val="en-GB"/>
        </w:rPr>
        <w:t xml:space="preserve"> work</w:t>
      </w:r>
      <w:r w:rsidRPr="00EC5C45">
        <w:rPr>
          <w:rStyle w:val="eop"/>
          <w:rFonts w:eastAsiaTheme="majorEastAsia" w:cs="Segoe UI"/>
          <w:color w:val="auto"/>
          <w:lang w:val="en-GB"/>
        </w:rPr>
        <w:t>.</w:t>
      </w:r>
      <w:r w:rsidR="00EC5C45" w:rsidRPr="00EC5C45">
        <w:rPr>
          <w:rStyle w:val="eop"/>
          <w:rFonts w:eastAsiaTheme="majorEastAsia" w:cs="Segoe UI"/>
          <w:color w:val="auto"/>
          <w:lang w:val="en-GB"/>
        </w:rPr>
        <w:t xml:space="preserve"> </w:t>
      </w:r>
      <w:r w:rsidRPr="00EC5C45">
        <w:rPr>
          <w:rStyle w:val="eop"/>
          <w:rFonts w:eastAsiaTheme="majorEastAsia" w:cs="Segoe UI"/>
          <w:color w:val="auto"/>
          <w:lang w:val="en-GB"/>
        </w:rPr>
        <w:t>As many homeless patrons of the library suffer from drug abuse, the library works closely with the Centre for the Prevention and T</w:t>
      </w:r>
      <w:r w:rsidR="00A512C7" w:rsidRPr="00EC5C45">
        <w:rPr>
          <w:rStyle w:val="eop"/>
          <w:rFonts w:eastAsiaTheme="majorEastAsia" w:cs="Segoe UI"/>
          <w:color w:val="auto"/>
          <w:lang w:val="en-GB"/>
        </w:rPr>
        <w:t>reatment of</w:t>
      </w:r>
      <w:r w:rsidRPr="00EC5C45">
        <w:rPr>
          <w:rStyle w:val="eop"/>
          <w:rFonts w:eastAsiaTheme="majorEastAsia" w:cs="Segoe UI"/>
          <w:color w:val="auto"/>
          <w:lang w:val="en-GB"/>
        </w:rPr>
        <w:t xml:space="preserve"> Drug Addiction at the University Hospital of Psychiatry in Ljubljana to support rehabilitation, reintegration and social inclusion.</w:t>
      </w:r>
      <w:r w:rsidRPr="00EC5C45">
        <w:rPr>
          <w:rStyle w:val="FootnoteReference"/>
          <w:rFonts w:eastAsiaTheme="majorEastAsia" w:cs="Segoe UI"/>
          <w:color w:val="auto"/>
          <w:lang w:val="en-GB"/>
        </w:rPr>
        <w:footnoteReference w:id="8"/>
      </w:r>
    </w:p>
    <w:p w14:paraId="6018A376" w14:textId="554932B5" w:rsidR="00B0710A" w:rsidRPr="00060D01" w:rsidRDefault="005135CD" w:rsidP="00971855">
      <w:pPr>
        <w:pStyle w:val="Text"/>
        <w:rPr>
          <w:rStyle w:val="eop"/>
          <w:rFonts w:eastAsiaTheme="majorEastAsia" w:cs="Segoe UI"/>
          <w:color w:val="auto"/>
          <w:lang w:val="en-GB"/>
        </w:rPr>
      </w:pPr>
      <w:r w:rsidRPr="00EC5C45">
        <w:rPr>
          <w:rStyle w:val="eop"/>
          <w:rFonts w:eastAsiaTheme="majorEastAsia" w:cs="Segoe UI"/>
          <w:color w:val="auto"/>
          <w:lang w:val="en-GB"/>
        </w:rPr>
        <w:t xml:space="preserve">In Sri Lanka, the </w:t>
      </w:r>
      <w:proofErr w:type="spellStart"/>
      <w:r w:rsidRPr="00EC5C45">
        <w:rPr>
          <w:rStyle w:val="eop"/>
          <w:rFonts w:eastAsiaTheme="majorEastAsia" w:cs="Segoe UI"/>
          <w:color w:val="auto"/>
          <w:lang w:val="en-GB"/>
        </w:rPr>
        <w:t>e</w:t>
      </w:r>
      <w:r w:rsidR="00B0710A" w:rsidRPr="00EC5C45">
        <w:rPr>
          <w:rStyle w:val="eop"/>
          <w:rFonts w:eastAsiaTheme="majorEastAsia" w:cs="Segoe UI"/>
          <w:color w:val="auto"/>
          <w:lang w:val="en-GB"/>
        </w:rPr>
        <w:t>Library</w:t>
      </w:r>
      <w:proofErr w:type="spellEnd"/>
      <w:r w:rsidR="00B0710A" w:rsidRPr="00EC5C45">
        <w:rPr>
          <w:rStyle w:val="eop"/>
          <w:rFonts w:eastAsiaTheme="majorEastAsia" w:cs="Segoe UI"/>
          <w:color w:val="auto"/>
          <w:lang w:val="en-GB"/>
        </w:rPr>
        <w:t xml:space="preserve"> </w:t>
      </w:r>
      <w:proofErr w:type="spellStart"/>
      <w:r w:rsidR="00B0710A" w:rsidRPr="00EC5C45">
        <w:rPr>
          <w:rStyle w:val="eop"/>
          <w:rFonts w:eastAsiaTheme="majorEastAsia" w:cs="Segoe UI"/>
          <w:color w:val="auto"/>
          <w:lang w:val="en-GB"/>
        </w:rPr>
        <w:t>Nenasala</w:t>
      </w:r>
      <w:proofErr w:type="spellEnd"/>
      <w:r w:rsidR="00B0710A" w:rsidRPr="00EC5C45">
        <w:rPr>
          <w:rStyle w:val="eop"/>
          <w:rFonts w:eastAsiaTheme="majorEastAsia" w:cs="Segoe UI"/>
          <w:color w:val="auto"/>
          <w:lang w:val="en-GB"/>
        </w:rPr>
        <w:t xml:space="preserve"> Programme is a government-sponsored initiative to increase digital literacy and access to technology among the nation’s poorest residents, often living in remote rural areas. The 300 centres in all parts of the country are open to everyone and are the most robust form of access to infrastructure in many remote and impoverished parts of the country.</w:t>
      </w:r>
      <w:r w:rsidR="00B0710A" w:rsidRPr="00EC5C45">
        <w:rPr>
          <w:rStyle w:val="FootnoteReference"/>
          <w:rFonts w:eastAsiaTheme="majorEastAsia" w:cs="Segoe UI"/>
          <w:color w:val="auto"/>
          <w:lang w:val="en-GB"/>
        </w:rPr>
        <w:footnoteReference w:id="9"/>
      </w:r>
    </w:p>
    <w:p w14:paraId="2C43DA3B" w14:textId="77777777" w:rsidR="00B0710A" w:rsidRPr="00060D01" w:rsidRDefault="00B0710A" w:rsidP="00971855">
      <w:pPr>
        <w:pStyle w:val="Heading3"/>
        <w:rPr>
          <w:lang w:val="en-GB"/>
        </w:rPr>
      </w:pPr>
      <w:r w:rsidRPr="00EC5C45">
        <w:rPr>
          <w:rStyle w:val="eop"/>
          <w:rFonts w:cs="Segoe UI"/>
          <w:szCs w:val="22"/>
          <w:lang w:val="en-GB"/>
        </w:rPr>
        <w:t>SDG</w:t>
      </w:r>
      <w:r w:rsidRPr="00060D01">
        <w:rPr>
          <w:lang w:val="en-GB"/>
        </w:rPr>
        <w:t xml:space="preserve"> 2: promote sustainable agriculture </w:t>
      </w:r>
    </w:p>
    <w:p w14:paraId="4D27C2C3" w14:textId="6B2E08AB" w:rsidR="005135CD" w:rsidRPr="00EC5C45" w:rsidRDefault="00B0710A" w:rsidP="00971855">
      <w:pPr>
        <w:pStyle w:val="Text"/>
        <w:rPr>
          <w:color w:val="auto"/>
          <w:lang w:val="en-GB"/>
        </w:rPr>
      </w:pPr>
      <w:r w:rsidRPr="00EC5C45">
        <w:rPr>
          <w:color w:val="auto"/>
          <w:lang w:val="en-GB"/>
        </w:rPr>
        <w:t xml:space="preserve">We would suggest that progress is being made in terms of inclusivity, particularly when it comes to getting people in </w:t>
      </w:r>
      <w:r w:rsidR="009A62D1" w:rsidRPr="00EC5C45">
        <w:rPr>
          <w:color w:val="auto"/>
          <w:lang w:val="en-GB"/>
        </w:rPr>
        <w:t xml:space="preserve">rural </w:t>
      </w:r>
      <w:r w:rsidRPr="00EC5C45">
        <w:rPr>
          <w:color w:val="auto"/>
          <w:lang w:val="en-GB"/>
        </w:rPr>
        <w:t xml:space="preserve">areas online, or people belonging to vulnerable and marginalised groups. Libraries make strong attempts to provide public access to ICTs in these contexts, and </w:t>
      </w:r>
      <w:r w:rsidR="009A62D1" w:rsidRPr="00EC5C45">
        <w:rPr>
          <w:color w:val="auto"/>
          <w:lang w:val="en-GB"/>
        </w:rPr>
        <w:t xml:space="preserve">evidence of </w:t>
      </w:r>
      <w:r w:rsidRPr="00EC5C45">
        <w:rPr>
          <w:color w:val="auto"/>
          <w:lang w:val="en-GB"/>
        </w:rPr>
        <w:t xml:space="preserve">positive movement can be found in terms of who has access to the </w:t>
      </w:r>
      <w:r w:rsidR="0069201A" w:rsidRPr="00EC5C45">
        <w:rPr>
          <w:color w:val="auto"/>
          <w:lang w:val="en-GB"/>
        </w:rPr>
        <w:t>Internet</w:t>
      </w:r>
      <w:r w:rsidRPr="00EC5C45">
        <w:rPr>
          <w:color w:val="auto"/>
          <w:lang w:val="en-GB"/>
        </w:rPr>
        <w:t>, whether through fixed or mobile technology</w:t>
      </w:r>
      <w:r w:rsidR="009A62D1" w:rsidRPr="00EC5C45">
        <w:rPr>
          <w:color w:val="auto"/>
          <w:lang w:val="en-GB"/>
        </w:rPr>
        <w:t>, and the effective use they make of it</w:t>
      </w:r>
      <w:r w:rsidRPr="00EC5C45">
        <w:rPr>
          <w:color w:val="auto"/>
          <w:lang w:val="en-GB"/>
        </w:rPr>
        <w:t xml:space="preserve">. </w:t>
      </w:r>
    </w:p>
    <w:p w14:paraId="4217E6A5" w14:textId="0E855875" w:rsidR="00B0710A" w:rsidRPr="00EC5C45" w:rsidRDefault="00B0710A" w:rsidP="00971855">
      <w:pPr>
        <w:pStyle w:val="Text"/>
        <w:rPr>
          <w:rFonts w:ascii="Segoe UI" w:hAnsi="Segoe UI" w:cs="Segoe UI"/>
          <w:color w:val="auto"/>
          <w:sz w:val="12"/>
          <w:szCs w:val="12"/>
          <w:lang w:val="en-GB"/>
        </w:rPr>
      </w:pPr>
      <w:r w:rsidRPr="00EC5C45">
        <w:rPr>
          <w:color w:val="auto"/>
          <w:lang w:val="en-GB"/>
        </w:rPr>
        <w:t>In Romania</w:t>
      </w:r>
      <w:r w:rsidR="009A62D1" w:rsidRPr="00EC5C45">
        <w:rPr>
          <w:color w:val="auto"/>
          <w:lang w:val="en-GB"/>
        </w:rPr>
        <w:t xml:space="preserve"> for example</w:t>
      </w:r>
      <w:r w:rsidRPr="00EC5C45">
        <w:rPr>
          <w:color w:val="auto"/>
          <w:lang w:val="en-GB"/>
        </w:rPr>
        <w:t>, public library staff worked with local government to help 100,000 farmers use new ICT services to apply for agricultural subsidies.</w:t>
      </w:r>
      <w:r w:rsidRPr="00EC5C45">
        <w:rPr>
          <w:rStyle w:val="FootnoteReference"/>
          <w:color w:val="auto"/>
          <w:lang w:val="en-GB"/>
        </w:rPr>
        <w:footnoteReference w:id="10"/>
      </w:r>
      <w:r w:rsidR="008728AC" w:rsidRPr="00EC5C45">
        <w:rPr>
          <w:color w:val="auto"/>
          <w:lang w:val="en-GB"/>
        </w:rPr>
        <w:t xml:space="preserve"> </w:t>
      </w:r>
      <w:r w:rsidR="008728AC" w:rsidRPr="00060D01">
        <w:rPr>
          <w:rFonts w:eastAsia="Calibri" w:cs="Calibri"/>
          <w:color w:val="auto"/>
          <w:lang w:val="en-GB"/>
        </w:rPr>
        <w:t xml:space="preserve">In Uganda, five community libraries have used netbook computers and </w:t>
      </w:r>
      <w:r w:rsidR="00DD08ED" w:rsidRPr="00060D01">
        <w:rPr>
          <w:rFonts w:eastAsia="Calibri" w:cs="Calibri"/>
          <w:color w:val="auto"/>
          <w:lang w:val="en-GB"/>
        </w:rPr>
        <w:t>Wi-Fi</w:t>
      </w:r>
      <w:r w:rsidR="008728AC" w:rsidRPr="00060D01">
        <w:rPr>
          <w:rFonts w:eastAsia="Calibri" w:cs="Calibri"/>
          <w:color w:val="auto"/>
          <w:lang w:val="en-GB"/>
        </w:rPr>
        <w:t xml:space="preserve"> </w:t>
      </w:r>
      <w:r w:rsidR="008728AC" w:rsidRPr="00060D01">
        <w:rPr>
          <w:rFonts w:eastAsia="Calibri" w:cs="Calibri"/>
          <w:color w:val="auto"/>
          <w:lang w:val="en-GB"/>
        </w:rPr>
        <w:lastRenderedPageBreak/>
        <w:t xml:space="preserve">connection to the </w:t>
      </w:r>
      <w:r w:rsidR="0069201A" w:rsidRPr="00060D01">
        <w:rPr>
          <w:rFonts w:eastAsia="Calibri" w:cs="Calibri"/>
          <w:color w:val="auto"/>
          <w:lang w:val="en-GB"/>
        </w:rPr>
        <w:t>Internet</w:t>
      </w:r>
      <w:r w:rsidR="008728AC" w:rsidRPr="00060D01">
        <w:rPr>
          <w:rFonts w:eastAsia="Calibri" w:cs="Calibri"/>
          <w:color w:val="auto"/>
          <w:lang w:val="en-GB"/>
        </w:rPr>
        <w:t xml:space="preserve"> to train 700 farmers and other community members to start using technology and access information on new crops and farming methods.</w:t>
      </w:r>
      <w:r w:rsidR="008728AC" w:rsidRPr="00060D01">
        <w:rPr>
          <w:rFonts w:eastAsia="Calibri" w:cs="Calibri"/>
          <w:color w:val="auto"/>
          <w:vertAlign w:val="superscript"/>
          <w:lang w:val="en-GB"/>
        </w:rPr>
        <w:footnoteReference w:id="11"/>
      </w:r>
    </w:p>
    <w:p w14:paraId="29F82049" w14:textId="77777777" w:rsidR="00B0710A" w:rsidRPr="00EC5C45" w:rsidRDefault="00B0710A" w:rsidP="00971855">
      <w:pPr>
        <w:pStyle w:val="Heading3"/>
        <w:rPr>
          <w:lang w:val="en-GB"/>
        </w:rPr>
      </w:pPr>
      <w:r w:rsidRPr="00EC5C45">
        <w:rPr>
          <w:lang w:val="en-GB"/>
        </w:rPr>
        <w:t>SDG 3: Ensure Healthy Lives and Promote Wellbeing</w:t>
      </w:r>
    </w:p>
    <w:p w14:paraId="2EFB49EA" w14:textId="4D50C02D" w:rsidR="00B0710A" w:rsidRPr="00060D01" w:rsidRDefault="00B0710A" w:rsidP="00971855">
      <w:pPr>
        <w:pStyle w:val="Text"/>
        <w:rPr>
          <w:rStyle w:val="eop"/>
          <w:color w:val="auto"/>
          <w:lang w:val="en-GB"/>
        </w:rPr>
      </w:pPr>
      <w:r w:rsidRPr="00EC5C45">
        <w:rPr>
          <w:rStyle w:val="eop"/>
          <w:rFonts w:eastAsiaTheme="majorEastAsia" w:cs="Segoe UI"/>
          <w:color w:val="auto"/>
          <w:lang w:val="en-GB"/>
        </w:rPr>
        <w:t>In Botswana, 87% of library visitors say their health improved as a result of health information they found using public library services.</w:t>
      </w:r>
      <w:r w:rsidR="00D17664" w:rsidRPr="00EC5C45">
        <w:rPr>
          <w:rStyle w:val="FootnoteReference"/>
          <w:rFonts w:eastAsiaTheme="majorEastAsia" w:cs="Segoe UI"/>
          <w:color w:val="auto"/>
          <w:lang w:val="en-GB"/>
        </w:rPr>
        <w:footnoteReference w:id="12"/>
      </w:r>
      <w:r w:rsidRPr="00EC5C45">
        <w:rPr>
          <w:rStyle w:val="eop"/>
          <w:rFonts w:eastAsiaTheme="majorEastAsia" w:cs="Segoe UI"/>
          <w:color w:val="auto"/>
          <w:lang w:val="en-GB"/>
        </w:rPr>
        <w:t xml:space="preserve"> In Australia, a report released in 2014 found that hospitals, government departments, associations </w:t>
      </w:r>
      <w:r w:rsidRPr="00060D01">
        <w:rPr>
          <w:rStyle w:val="eop"/>
          <w:color w:val="auto"/>
          <w:lang w:val="en-GB"/>
        </w:rPr>
        <w:t>and other organisations involved in healthcare get a $5 return for ev</w:t>
      </w:r>
      <w:r w:rsidR="005135CD" w:rsidRPr="00060D01">
        <w:rPr>
          <w:rStyle w:val="eop"/>
          <w:color w:val="auto"/>
          <w:lang w:val="en-GB"/>
        </w:rPr>
        <w:t>ery $1 they invest in libraries.</w:t>
      </w:r>
      <w:r w:rsidR="005135CD" w:rsidRPr="00060D01">
        <w:rPr>
          <w:rStyle w:val="FootnoteReference"/>
          <w:color w:val="auto"/>
          <w:lang w:val="en-GB"/>
        </w:rPr>
        <w:footnoteReference w:id="13"/>
      </w:r>
    </w:p>
    <w:p w14:paraId="794F7517" w14:textId="253F34BE" w:rsidR="00B0710A" w:rsidRPr="00060D01" w:rsidRDefault="00B0710A" w:rsidP="00971855">
      <w:pPr>
        <w:pStyle w:val="Text"/>
        <w:rPr>
          <w:color w:val="auto"/>
          <w:lang w:val="en-GB"/>
        </w:rPr>
      </w:pPr>
      <w:r w:rsidRPr="00060D01">
        <w:rPr>
          <w:color w:val="auto"/>
          <w:lang w:val="en-GB"/>
        </w:rPr>
        <w:t xml:space="preserve">The government of Kyrgyzstan </w:t>
      </w:r>
      <w:r w:rsidR="00DD08ED" w:rsidRPr="00060D01">
        <w:rPr>
          <w:color w:val="auto"/>
          <w:lang w:val="en-GB"/>
        </w:rPr>
        <w:t xml:space="preserve">has </w:t>
      </w:r>
      <w:r w:rsidRPr="00060D01">
        <w:rPr>
          <w:color w:val="auto"/>
          <w:lang w:val="en-GB"/>
        </w:rPr>
        <w:t>launched an intensive national tuberculosis (TB) prevention and control programme. The Kyrgyz Libraries Information Consortium</w:t>
      </w:r>
      <w:r w:rsidR="00671410" w:rsidRPr="00060D01">
        <w:rPr>
          <w:color w:val="auto"/>
          <w:lang w:val="en-GB"/>
        </w:rPr>
        <w:t>’s</w:t>
      </w:r>
      <w:r w:rsidRPr="00060D01">
        <w:rPr>
          <w:color w:val="auto"/>
          <w:lang w:val="en-GB"/>
        </w:rPr>
        <w:t xml:space="preserve"> (KLIC) </w:t>
      </w:r>
      <w:r w:rsidR="00671410" w:rsidRPr="00060D01">
        <w:rPr>
          <w:color w:val="auto"/>
          <w:lang w:val="en-GB"/>
        </w:rPr>
        <w:t>“No to TB!”</w:t>
      </w:r>
      <w:r w:rsidRPr="00060D01">
        <w:rPr>
          <w:color w:val="auto"/>
          <w:lang w:val="en-GB"/>
        </w:rPr>
        <w:t xml:space="preserve"> service works in partnership with civil society organisations like Project HOPE and the Red Crescent Society to mobilise public libraries to support government goals. Following a pilot grant for three libraries from the EIFL Public</w:t>
      </w:r>
      <w:r w:rsidR="00671410" w:rsidRPr="00060D01">
        <w:rPr>
          <w:color w:val="auto"/>
          <w:lang w:val="en-GB"/>
        </w:rPr>
        <w:t xml:space="preserve"> Library Innovation Programme, “No to TB!”</w:t>
      </w:r>
      <w:r w:rsidRPr="00060D01">
        <w:rPr>
          <w:color w:val="auto"/>
          <w:lang w:val="en-GB"/>
        </w:rPr>
        <w:t xml:space="preserve"> initiatives were set up in 190 rural libraries with training for 800 people on how to raise awareness of TB, as well as public debates attended by 5</w:t>
      </w:r>
      <w:r w:rsidR="00790BFE" w:rsidRPr="00060D01">
        <w:rPr>
          <w:color w:val="auto"/>
          <w:lang w:val="en-GB"/>
        </w:rPr>
        <w:t>,</w:t>
      </w:r>
      <w:r w:rsidRPr="00060D01">
        <w:rPr>
          <w:color w:val="auto"/>
          <w:lang w:val="en-GB"/>
        </w:rPr>
        <w:t>600 people.</w:t>
      </w:r>
      <w:r w:rsidR="005C2344" w:rsidRPr="00060D01">
        <w:rPr>
          <w:rStyle w:val="FootnoteReference"/>
          <w:color w:val="auto"/>
          <w:lang w:val="en-GB"/>
        </w:rPr>
        <w:footnoteReference w:id="14"/>
      </w:r>
    </w:p>
    <w:p w14:paraId="784BE073" w14:textId="4EBCCC2C" w:rsidR="00B0710A" w:rsidRPr="00060D01" w:rsidRDefault="00B0710A" w:rsidP="00971855">
      <w:pPr>
        <w:pStyle w:val="Text"/>
        <w:rPr>
          <w:rStyle w:val="eop"/>
          <w:rFonts w:eastAsiaTheme="majorEastAsia" w:cs="Segoe UI"/>
          <w:color w:val="auto"/>
          <w:lang w:val="en-GB"/>
        </w:rPr>
      </w:pPr>
      <w:r w:rsidRPr="00EC5C45">
        <w:rPr>
          <w:color w:val="auto"/>
          <w:lang w:val="en-GB"/>
        </w:rPr>
        <w:t>The Uganda Health Information Digest publ</w:t>
      </w:r>
      <w:r w:rsidR="004176C2" w:rsidRPr="00EC5C45">
        <w:rPr>
          <w:color w:val="auto"/>
          <w:lang w:val="en-GB"/>
        </w:rPr>
        <w:t xml:space="preserve">ished by </w:t>
      </w:r>
      <w:proofErr w:type="spellStart"/>
      <w:r w:rsidR="004176C2" w:rsidRPr="00EC5C45">
        <w:rPr>
          <w:color w:val="auto"/>
          <w:lang w:val="en-GB"/>
        </w:rPr>
        <w:t>Maker</w:t>
      </w:r>
      <w:r w:rsidR="009A62D1" w:rsidRPr="00EC5C45">
        <w:rPr>
          <w:color w:val="auto"/>
          <w:lang w:val="en-GB"/>
        </w:rPr>
        <w:t>er</w:t>
      </w:r>
      <w:r w:rsidR="004176C2" w:rsidRPr="00EC5C45">
        <w:rPr>
          <w:color w:val="auto"/>
          <w:lang w:val="en-GB"/>
        </w:rPr>
        <w:t>e</w:t>
      </w:r>
      <w:proofErr w:type="spellEnd"/>
      <w:r w:rsidR="004176C2" w:rsidRPr="00EC5C45">
        <w:rPr>
          <w:color w:val="auto"/>
          <w:lang w:val="en-GB"/>
        </w:rPr>
        <w:t xml:space="preserve"> University L</w:t>
      </w:r>
      <w:r w:rsidRPr="00EC5C45">
        <w:rPr>
          <w:color w:val="auto"/>
          <w:lang w:val="en-GB"/>
        </w:rPr>
        <w:t>ibrary re</w:t>
      </w:r>
      <w:r w:rsidR="004176C2" w:rsidRPr="00EC5C45">
        <w:rPr>
          <w:color w:val="auto"/>
          <w:lang w:val="en-GB"/>
        </w:rPr>
        <w:t>-</w:t>
      </w:r>
      <w:r w:rsidRPr="00EC5C45">
        <w:rPr>
          <w:color w:val="auto"/>
          <w:lang w:val="en-GB"/>
        </w:rPr>
        <w:t>packages scholarly information in print format for health workers who cannot access the information online</w:t>
      </w:r>
      <w:r w:rsidR="00060D01">
        <w:rPr>
          <w:color w:val="auto"/>
          <w:lang w:val="en-GB"/>
        </w:rPr>
        <w:t>, so that they can nonetheless benefit from what is available on the Internet.</w:t>
      </w:r>
      <w:r w:rsidRPr="00EC5C45">
        <w:rPr>
          <w:color w:val="auto"/>
          <w:lang w:val="en-GB"/>
        </w:rPr>
        <w:t xml:space="preserve"> The </w:t>
      </w:r>
      <w:r w:rsidR="004176C2" w:rsidRPr="00EC5C45">
        <w:rPr>
          <w:color w:val="auto"/>
          <w:lang w:val="en-GB"/>
        </w:rPr>
        <w:t>d</w:t>
      </w:r>
      <w:r w:rsidRPr="00EC5C45">
        <w:rPr>
          <w:color w:val="auto"/>
          <w:lang w:val="en-GB"/>
        </w:rPr>
        <w:t>igest includes abstracts on t</w:t>
      </w:r>
      <w:r w:rsidR="004176C2" w:rsidRPr="00EC5C45">
        <w:rPr>
          <w:color w:val="auto"/>
          <w:lang w:val="en-GB"/>
        </w:rPr>
        <w:t>r</w:t>
      </w:r>
      <w:r w:rsidRPr="00EC5C45">
        <w:rPr>
          <w:color w:val="auto"/>
          <w:lang w:val="en-GB"/>
        </w:rPr>
        <w:t>opical disease and health issues. It is distributed to over 1</w:t>
      </w:r>
      <w:r w:rsidR="004176C2" w:rsidRPr="00EC5C45">
        <w:rPr>
          <w:color w:val="auto"/>
          <w:lang w:val="en-GB"/>
        </w:rPr>
        <w:t>,</w:t>
      </w:r>
      <w:r w:rsidRPr="00EC5C45">
        <w:rPr>
          <w:color w:val="auto"/>
          <w:lang w:val="en-GB"/>
        </w:rPr>
        <w:t>500 health units including hospitals, healt</w:t>
      </w:r>
      <w:r w:rsidR="00F51102" w:rsidRPr="00EC5C45">
        <w:rPr>
          <w:color w:val="auto"/>
          <w:lang w:val="en-GB"/>
        </w:rPr>
        <w:t>h centres, dispensaries, health-related non-governmental organisations (NGOs)</w:t>
      </w:r>
      <w:r w:rsidRPr="00EC5C45">
        <w:rPr>
          <w:color w:val="auto"/>
          <w:lang w:val="en-GB"/>
        </w:rPr>
        <w:t>, district medical offices, all district health and social services committees</w:t>
      </w:r>
      <w:r w:rsidR="009A62D1" w:rsidRPr="00EC5C45">
        <w:rPr>
          <w:color w:val="auto"/>
          <w:lang w:val="en-GB"/>
        </w:rPr>
        <w:t>,</w:t>
      </w:r>
      <w:r w:rsidRPr="00EC5C45">
        <w:rPr>
          <w:color w:val="auto"/>
          <w:lang w:val="en-GB"/>
        </w:rPr>
        <w:t xml:space="preserve"> and Members of Parliament. The </w:t>
      </w:r>
      <w:r w:rsidR="00855729" w:rsidRPr="00EC5C45">
        <w:rPr>
          <w:color w:val="auto"/>
          <w:lang w:val="en-GB"/>
        </w:rPr>
        <w:t>d</w:t>
      </w:r>
      <w:r w:rsidRPr="00EC5C45">
        <w:rPr>
          <w:color w:val="auto"/>
          <w:lang w:val="en-GB"/>
        </w:rPr>
        <w:t>igest is one of the few sources of up-to-date information in remote areas during outbreaks of disease</w:t>
      </w:r>
      <w:r w:rsidR="009A62D1" w:rsidRPr="00EC5C45">
        <w:rPr>
          <w:color w:val="auto"/>
          <w:lang w:val="en-GB"/>
        </w:rPr>
        <w:t>s</w:t>
      </w:r>
      <w:r w:rsidRPr="00EC5C45">
        <w:rPr>
          <w:color w:val="auto"/>
          <w:lang w:val="en-GB"/>
        </w:rPr>
        <w:t xml:space="preserve"> such as Hepatitis.</w:t>
      </w:r>
      <w:r w:rsidRPr="00EC5C45">
        <w:rPr>
          <w:rStyle w:val="FootnoteReference"/>
          <w:color w:val="auto"/>
          <w:lang w:val="en-GB"/>
        </w:rPr>
        <w:footnoteReference w:id="15"/>
      </w:r>
    </w:p>
    <w:p w14:paraId="11EE879A" w14:textId="77777777" w:rsidR="00B0710A" w:rsidRPr="00EC5C45" w:rsidRDefault="00B0710A" w:rsidP="00971855">
      <w:pPr>
        <w:pStyle w:val="Heading3"/>
        <w:rPr>
          <w:lang w:val="en-GB"/>
        </w:rPr>
      </w:pPr>
      <w:r w:rsidRPr="00EC5C45">
        <w:rPr>
          <w:lang w:val="en-GB"/>
        </w:rPr>
        <w:t>SDG 4: Quality Education and Lifelong Learning</w:t>
      </w:r>
    </w:p>
    <w:p w14:paraId="06D4E11C" w14:textId="77777777" w:rsidR="00B0710A" w:rsidRPr="00EC5C45" w:rsidRDefault="00B0710A" w:rsidP="00971855">
      <w:pPr>
        <w:pStyle w:val="Text"/>
        <w:rPr>
          <w:rFonts w:eastAsiaTheme="majorEastAsia" w:cs="Segoe UI"/>
          <w:color w:val="auto"/>
          <w:lang w:val="en-GB"/>
        </w:rPr>
      </w:pPr>
      <w:r w:rsidRPr="00EC5C45">
        <w:rPr>
          <w:rFonts w:eastAsiaTheme="majorEastAsia" w:cs="Segoe UI"/>
          <w:color w:val="auto"/>
          <w:lang w:val="en-GB"/>
        </w:rPr>
        <w:t>In Botswana, public libraries are supporting some of the government’s National Vision 2016 objectives, including introducing ICT access, improving the computer skills of library users, and enabling users to be successful in business, education, and employment.</w:t>
      </w:r>
      <w:r w:rsidRPr="00EC5C45">
        <w:rPr>
          <w:rStyle w:val="FootnoteReference"/>
          <w:rFonts w:eastAsiaTheme="majorEastAsia" w:cs="Segoe UI"/>
          <w:color w:val="auto"/>
          <w:lang w:val="en-GB"/>
        </w:rPr>
        <w:footnoteReference w:id="16"/>
      </w:r>
    </w:p>
    <w:p w14:paraId="2FCCB18F" w14:textId="39C3EB75" w:rsidR="00B0710A" w:rsidRPr="00EC5C45" w:rsidRDefault="00B0710A" w:rsidP="00971855">
      <w:pPr>
        <w:pStyle w:val="Text"/>
        <w:rPr>
          <w:rFonts w:eastAsiaTheme="majorEastAsia" w:cs="Segoe UI"/>
          <w:color w:val="auto"/>
          <w:lang w:val="en-GB"/>
        </w:rPr>
      </w:pPr>
      <w:r w:rsidRPr="00EC5C45">
        <w:rPr>
          <w:rFonts w:eastAsiaTheme="majorEastAsia" w:cs="Segoe UI"/>
          <w:color w:val="auto"/>
          <w:lang w:val="en-GB"/>
        </w:rPr>
        <w:t>I</w:t>
      </w:r>
      <w:r w:rsidR="00D41D41" w:rsidRPr="00EC5C45">
        <w:rPr>
          <w:rFonts w:eastAsiaTheme="majorEastAsia" w:cs="Segoe UI"/>
          <w:color w:val="auto"/>
          <w:lang w:val="en-GB"/>
        </w:rPr>
        <w:t>n New York City, nineteen</w:t>
      </w:r>
      <w:r w:rsidRPr="00EC5C45">
        <w:rPr>
          <w:rFonts w:eastAsiaTheme="majorEastAsia" w:cs="Segoe UI"/>
          <w:color w:val="auto"/>
          <w:lang w:val="en-GB"/>
        </w:rPr>
        <w:t xml:space="preserve"> library branches have specialised adult learning centres that offer classes in pre-GED,</w:t>
      </w:r>
      <w:r w:rsidR="00635644" w:rsidRPr="00EC5C45">
        <w:rPr>
          <w:rStyle w:val="FootnoteReference"/>
          <w:rFonts w:eastAsiaTheme="majorEastAsia" w:cs="Segoe UI"/>
          <w:color w:val="auto"/>
          <w:lang w:val="en-GB"/>
        </w:rPr>
        <w:t xml:space="preserve"> </w:t>
      </w:r>
      <w:r w:rsidR="00635644" w:rsidRPr="00EC5C45">
        <w:rPr>
          <w:rStyle w:val="FootnoteReference"/>
          <w:rFonts w:eastAsiaTheme="majorEastAsia" w:cs="Segoe UI"/>
          <w:color w:val="auto"/>
          <w:lang w:val="en-GB"/>
        </w:rPr>
        <w:footnoteReference w:id="17"/>
      </w:r>
      <w:r w:rsidRPr="00EC5C45">
        <w:rPr>
          <w:rFonts w:eastAsiaTheme="majorEastAsia" w:cs="Segoe UI"/>
          <w:color w:val="auto"/>
          <w:lang w:val="en-GB"/>
        </w:rPr>
        <w:t xml:space="preserve"> English for Speakers of Other Languages (ESOL), adult literacy, citizenship, and ICT skills.</w:t>
      </w:r>
      <w:r w:rsidRPr="00EC5C45">
        <w:rPr>
          <w:rStyle w:val="FootnoteReference"/>
          <w:rFonts w:eastAsiaTheme="majorEastAsia" w:cs="Segoe UI"/>
          <w:color w:val="auto"/>
          <w:lang w:val="en-GB"/>
        </w:rPr>
        <w:footnoteReference w:id="18"/>
      </w:r>
    </w:p>
    <w:p w14:paraId="5AC4923D" w14:textId="77777777" w:rsidR="003B3C73" w:rsidRPr="00EC5C45" w:rsidRDefault="003B3C73" w:rsidP="00971855">
      <w:pPr>
        <w:pStyle w:val="Heading3"/>
        <w:rPr>
          <w:lang w:val="en-GB"/>
        </w:rPr>
      </w:pPr>
      <w:r w:rsidRPr="00EC5C45">
        <w:rPr>
          <w:lang w:val="en-GB"/>
        </w:rPr>
        <w:t>SDG 5: Empowering Women and Girls</w:t>
      </w:r>
    </w:p>
    <w:p w14:paraId="57A977B9" w14:textId="2DBB5B2D" w:rsidR="00F95B07" w:rsidRPr="00EC5C45" w:rsidRDefault="00F95B07" w:rsidP="00971855">
      <w:pPr>
        <w:pStyle w:val="Text"/>
        <w:rPr>
          <w:color w:val="auto"/>
          <w:lang w:val="en-GB"/>
        </w:rPr>
      </w:pPr>
      <w:r w:rsidRPr="00EC5C45">
        <w:rPr>
          <w:color w:val="auto"/>
          <w:lang w:val="en-GB"/>
        </w:rPr>
        <w:t xml:space="preserve">Today, we have a more disaggregated view of digital divides, </w:t>
      </w:r>
      <w:r w:rsidR="009A62D1" w:rsidRPr="00EC5C45">
        <w:rPr>
          <w:color w:val="auto"/>
          <w:lang w:val="en-GB"/>
        </w:rPr>
        <w:t>with growing attention, for example, to the</w:t>
      </w:r>
      <w:r w:rsidRPr="00EC5C45">
        <w:rPr>
          <w:color w:val="auto"/>
          <w:lang w:val="en-GB"/>
        </w:rPr>
        <w:t xml:space="preserve"> </w:t>
      </w:r>
      <w:proofErr w:type="spellStart"/>
      <w:r w:rsidRPr="00060D01">
        <w:rPr>
          <w:color w:val="auto"/>
          <w:lang w:val="en-GB"/>
        </w:rPr>
        <w:t>the</w:t>
      </w:r>
      <w:proofErr w:type="spellEnd"/>
      <w:r w:rsidRPr="00060D01">
        <w:rPr>
          <w:color w:val="auto"/>
          <w:lang w:val="en-GB"/>
        </w:rPr>
        <w:t xml:space="preserve"> gender digital divide which is apparent in many countries</w:t>
      </w:r>
      <w:r w:rsidR="00CB28F4" w:rsidRPr="00060D01">
        <w:rPr>
          <w:color w:val="auto"/>
          <w:lang w:val="en-GB"/>
        </w:rPr>
        <w:t>. We know that digital divides between social groups, including the gender digital divide, are closely associated with differences in income and educational attainment.</w:t>
      </w:r>
      <w:r w:rsidRPr="00060D01">
        <w:rPr>
          <w:rStyle w:val="FootnoteReference"/>
          <w:color w:val="auto"/>
          <w:lang w:val="en-GB"/>
        </w:rPr>
        <w:footnoteReference w:id="19"/>
      </w:r>
      <w:r w:rsidR="00CB28F4" w:rsidRPr="00060D01">
        <w:rPr>
          <w:color w:val="auto"/>
          <w:lang w:val="en-GB"/>
        </w:rPr>
        <w:t xml:space="preserve"> </w:t>
      </w:r>
    </w:p>
    <w:p w14:paraId="48255FA2" w14:textId="74FFADB9" w:rsidR="00F95B07" w:rsidRPr="00EC5C45" w:rsidRDefault="003B3C73" w:rsidP="00971855">
      <w:pPr>
        <w:pStyle w:val="Text"/>
        <w:rPr>
          <w:color w:val="auto"/>
          <w:lang w:val="en-GB"/>
        </w:rPr>
      </w:pPr>
      <w:r w:rsidRPr="00EC5C45">
        <w:rPr>
          <w:color w:val="auto"/>
          <w:lang w:val="en-GB"/>
        </w:rPr>
        <w:t xml:space="preserve">The National Library of Uganda has provided ICT training specifically designed for female farmers, ensuring that </w:t>
      </w:r>
      <w:r w:rsidR="009A62D1" w:rsidRPr="00EC5C45">
        <w:rPr>
          <w:color w:val="auto"/>
          <w:lang w:val="en-GB"/>
        </w:rPr>
        <w:t>they</w:t>
      </w:r>
      <w:r w:rsidRPr="00EC5C45">
        <w:rPr>
          <w:color w:val="auto"/>
          <w:lang w:val="en-GB"/>
        </w:rPr>
        <w:t xml:space="preserve"> can access weather forecasts, crop prices, and support to set up online markets.</w:t>
      </w:r>
      <w:r w:rsidRPr="00EC5C45">
        <w:rPr>
          <w:rStyle w:val="FootnoteReference"/>
          <w:color w:val="auto"/>
          <w:lang w:val="en-GB"/>
        </w:rPr>
        <w:footnoteReference w:id="20"/>
      </w:r>
      <w:r w:rsidR="00120DC0" w:rsidRPr="00EC5C45">
        <w:rPr>
          <w:color w:val="auto"/>
          <w:lang w:val="en-GB"/>
        </w:rPr>
        <w:t>.</w:t>
      </w:r>
      <w:r w:rsidR="00113DFB" w:rsidRPr="00EC5C45">
        <w:rPr>
          <w:color w:val="auto"/>
          <w:lang w:val="en-GB"/>
        </w:rPr>
        <w:t>)</w:t>
      </w:r>
    </w:p>
    <w:p w14:paraId="2178DE3B" w14:textId="5BD00BE3" w:rsidR="00445732" w:rsidRPr="00060D01" w:rsidRDefault="00445732" w:rsidP="00445732">
      <w:pPr>
        <w:spacing w:after="120"/>
        <w:jc w:val="both"/>
        <w:rPr>
          <w:lang w:val="en-GB"/>
        </w:rPr>
      </w:pPr>
      <w:r w:rsidRPr="00060D01">
        <w:rPr>
          <w:rFonts w:ascii="Calibri" w:eastAsia="Calibri" w:hAnsi="Calibri" w:cs="Calibri"/>
          <w:sz w:val="22"/>
          <w:szCs w:val="22"/>
          <w:lang w:val="en-GB"/>
        </w:rPr>
        <w:lastRenderedPageBreak/>
        <w:t>In Guatemala</w:t>
      </w:r>
      <w:r w:rsidR="009A62D1" w:rsidRPr="00060D01">
        <w:rPr>
          <w:rFonts w:ascii="Calibri" w:eastAsia="Calibri" w:hAnsi="Calibri" w:cs="Calibri"/>
          <w:sz w:val="22"/>
          <w:szCs w:val="22"/>
          <w:lang w:val="en-GB"/>
        </w:rPr>
        <w:t>,</w:t>
      </w:r>
      <w:r w:rsidRPr="00060D01">
        <w:rPr>
          <w:rFonts w:ascii="Calibri" w:eastAsia="Calibri" w:hAnsi="Calibri" w:cs="Calibri"/>
          <w:sz w:val="22"/>
          <w:szCs w:val="22"/>
          <w:lang w:val="en-GB"/>
        </w:rPr>
        <w:t xml:space="preserve"> through the </w:t>
      </w:r>
      <w:proofErr w:type="spellStart"/>
      <w:r w:rsidRPr="00060D01">
        <w:rPr>
          <w:rFonts w:ascii="Calibri" w:eastAsia="Calibri" w:hAnsi="Calibri" w:cs="Calibri"/>
          <w:sz w:val="22"/>
          <w:szCs w:val="22"/>
          <w:lang w:val="en-GB"/>
        </w:rPr>
        <w:t>Rija’tzuul</w:t>
      </w:r>
      <w:proofErr w:type="spellEnd"/>
      <w:r w:rsidRPr="00060D01">
        <w:rPr>
          <w:rFonts w:ascii="Calibri" w:eastAsia="Calibri" w:hAnsi="Calibri" w:cs="Calibri"/>
          <w:sz w:val="22"/>
          <w:szCs w:val="22"/>
          <w:lang w:val="en-GB"/>
        </w:rPr>
        <w:t xml:space="preserve"> </w:t>
      </w:r>
      <w:proofErr w:type="spellStart"/>
      <w:r w:rsidRPr="00060D01">
        <w:rPr>
          <w:rFonts w:ascii="Calibri" w:eastAsia="Calibri" w:hAnsi="Calibri" w:cs="Calibri"/>
          <w:sz w:val="22"/>
          <w:szCs w:val="22"/>
          <w:lang w:val="en-GB"/>
        </w:rPr>
        <w:t>Na’ooj</w:t>
      </w:r>
      <w:proofErr w:type="spellEnd"/>
      <w:r w:rsidRPr="00060D01">
        <w:rPr>
          <w:rFonts w:ascii="Calibri" w:eastAsia="Calibri" w:hAnsi="Calibri" w:cs="Calibri"/>
          <w:sz w:val="22"/>
          <w:szCs w:val="22"/>
          <w:lang w:val="en-GB"/>
        </w:rPr>
        <w:t xml:space="preserve"> library’s business cent</w:t>
      </w:r>
      <w:r w:rsidR="00EC5C45" w:rsidRPr="00060D01">
        <w:rPr>
          <w:rFonts w:ascii="Calibri" w:eastAsia="Calibri" w:hAnsi="Calibri" w:cs="Calibri"/>
          <w:sz w:val="22"/>
          <w:szCs w:val="22"/>
          <w:lang w:val="en-GB"/>
        </w:rPr>
        <w:t>re,</w:t>
      </w:r>
      <w:r w:rsidRPr="00060D01">
        <w:rPr>
          <w:rFonts w:ascii="Calibri" w:eastAsia="Calibri" w:hAnsi="Calibri" w:cs="Calibri"/>
          <w:sz w:val="22"/>
          <w:szCs w:val="22"/>
          <w:lang w:val="en-GB"/>
        </w:rPr>
        <w:t xml:space="preserve"> </w:t>
      </w:r>
      <w:r w:rsidR="00EC5C45" w:rsidRPr="00060D01">
        <w:rPr>
          <w:rFonts w:ascii="Calibri" w:eastAsia="Calibri" w:hAnsi="Calibri" w:cs="Calibri"/>
          <w:sz w:val="22"/>
          <w:szCs w:val="22"/>
          <w:lang w:val="en-GB"/>
        </w:rPr>
        <w:t>which</w:t>
      </w:r>
      <w:r w:rsidRPr="00060D01">
        <w:rPr>
          <w:rFonts w:ascii="Calibri" w:eastAsia="Calibri" w:hAnsi="Calibri" w:cs="Calibri"/>
          <w:sz w:val="22"/>
          <w:szCs w:val="22"/>
          <w:lang w:val="en-GB"/>
        </w:rPr>
        <w:t xml:space="preserve"> offers free </w:t>
      </w:r>
      <w:r w:rsidR="0069201A" w:rsidRPr="00060D01">
        <w:rPr>
          <w:rFonts w:ascii="Calibri" w:eastAsia="Calibri" w:hAnsi="Calibri" w:cs="Calibri"/>
          <w:sz w:val="22"/>
          <w:szCs w:val="22"/>
          <w:lang w:val="en-GB"/>
        </w:rPr>
        <w:t>Internet</w:t>
      </w:r>
      <w:r w:rsidRPr="00060D01">
        <w:rPr>
          <w:rFonts w:ascii="Calibri" w:eastAsia="Calibri" w:hAnsi="Calibri" w:cs="Calibri"/>
          <w:sz w:val="22"/>
          <w:szCs w:val="22"/>
          <w:lang w:val="en-GB"/>
        </w:rPr>
        <w:t xml:space="preserve"> access, technology and business skills training and space to meet, women have learnt to advertise their </w:t>
      </w:r>
      <w:r w:rsidR="007977D5" w:rsidRPr="00060D01">
        <w:rPr>
          <w:rFonts w:ascii="Calibri" w:eastAsia="Calibri" w:hAnsi="Calibri" w:cs="Calibri"/>
          <w:sz w:val="22"/>
          <w:szCs w:val="22"/>
          <w:lang w:val="en-GB"/>
        </w:rPr>
        <w:t xml:space="preserve">products on social media, </w:t>
      </w:r>
      <w:r w:rsidR="00EC5C45">
        <w:rPr>
          <w:rFonts w:ascii="Calibri" w:eastAsia="Calibri" w:hAnsi="Calibri" w:cs="Calibri"/>
          <w:sz w:val="22"/>
          <w:szCs w:val="22"/>
          <w:lang w:val="en-GB"/>
        </w:rPr>
        <w:t>prepare their</w:t>
      </w:r>
      <w:r w:rsidR="00EC5C45" w:rsidRPr="00060D01">
        <w:rPr>
          <w:rFonts w:ascii="Calibri" w:eastAsia="Calibri" w:hAnsi="Calibri" w:cs="Calibri"/>
          <w:sz w:val="22"/>
          <w:szCs w:val="22"/>
          <w:lang w:val="en-GB"/>
        </w:rPr>
        <w:t xml:space="preserve"> </w:t>
      </w:r>
      <w:r w:rsidRPr="00060D01">
        <w:rPr>
          <w:rFonts w:ascii="Calibri" w:eastAsia="Calibri" w:hAnsi="Calibri" w:cs="Calibri"/>
          <w:sz w:val="22"/>
          <w:szCs w:val="22"/>
          <w:lang w:val="en-GB"/>
        </w:rPr>
        <w:t>accounts,</w:t>
      </w:r>
      <w:r w:rsidR="009A62D1" w:rsidRPr="00060D01">
        <w:rPr>
          <w:rFonts w:ascii="Calibri" w:eastAsia="Calibri" w:hAnsi="Calibri" w:cs="Calibri"/>
          <w:sz w:val="22"/>
          <w:szCs w:val="22"/>
          <w:lang w:val="en-GB"/>
        </w:rPr>
        <w:t xml:space="preserve"> and</w:t>
      </w:r>
      <w:r w:rsidRPr="00060D01">
        <w:rPr>
          <w:rFonts w:ascii="Calibri" w:eastAsia="Calibri" w:hAnsi="Calibri" w:cs="Calibri"/>
          <w:sz w:val="22"/>
          <w:szCs w:val="22"/>
          <w:lang w:val="en-GB"/>
        </w:rPr>
        <w:t xml:space="preserve"> include the cost of their labour and raw materials in the prices they set for their fabric.</w:t>
      </w:r>
      <w:r w:rsidRPr="00060D01">
        <w:rPr>
          <w:rFonts w:ascii="Calibri" w:eastAsia="Calibri" w:hAnsi="Calibri" w:cs="Calibri"/>
          <w:sz w:val="22"/>
          <w:szCs w:val="22"/>
          <w:vertAlign w:val="superscript"/>
          <w:lang w:val="en-GB"/>
        </w:rPr>
        <w:footnoteReference w:id="21"/>
      </w:r>
      <w:r w:rsidRPr="00060D01">
        <w:rPr>
          <w:rFonts w:ascii="Arial" w:eastAsia="Arial" w:hAnsi="Arial" w:cs="Arial"/>
          <w:sz w:val="27"/>
          <w:szCs w:val="27"/>
          <w:highlight w:val="white"/>
          <w:lang w:val="en-GB"/>
        </w:rPr>
        <w:t xml:space="preserve"> </w:t>
      </w:r>
    </w:p>
    <w:p w14:paraId="0B627132" w14:textId="77777777" w:rsidR="003B3C73" w:rsidRPr="00EC5C45" w:rsidRDefault="003B3C73" w:rsidP="00971855">
      <w:pPr>
        <w:pStyle w:val="Heading3"/>
        <w:rPr>
          <w:lang w:val="en-GB"/>
        </w:rPr>
      </w:pPr>
      <w:r w:rsidRPr="00EC5C45">
        <w:rPr>
          <w:lang w:val="en-GB"/>
        </w:rPr>
        <w:t>SDG 8: Economic Growth and productive employment</w:t>
      </w:r>
    </w:p>
    <w:p w14:paraId="5A9D4CA6" w14:textId="62933FC9" w:rsidR="003B3C73" w:rsidRPr="00EC5C45" w:rsidRDefault="003B3C73" w:rsidP="00971855">
      <w:pPr>
        <w:pStyle w:val="Text"/>
        <w:rPr>
          <w:rFonts w:eastAsiaTheme="majorEastAsia" w:cs="Segoe UI"/>
          <w:color w:val="auto"/>
          <w:lang w:val="en-GB"/>
        </w:rPr>
      </w:pPr>
      <w:r w:rsidRPr="00EC5C45">
        <w:rPr>
          <w:rStyle w:val="eop"/>
          <w:rFonts w:eastAsiaTheme="majorEastAsia" w:cs="Segoe UI"/>
          <w:color w:val="auto"/>
          <w:lang w:val="en-GB"/>
        </w:rPr>
        <w:t xml:space="preserve">In Ukraine, </w:t>
      </w:r>
      <w:r w:rsidR="008778A5" w:rsidRPr="00EC5C45">
        <w:rPr>
          <w:rStyle w:val="eop"/>
          <w:rFonts w:eastAsiaTheme="majorEastAsia" w:cs="Segoe UI"/>
          <w:color w:val="auto"/>
          <w:lang w:val="en-GB"/>
        </w:rPr>
        <w:t>one in three</w:t>
      </w:r>
      <w:r w:rsidRPr="00EC5C45">
        <w:rPr>
          <w:rStyle w:val="eop"/>
          <w:rFonts w:eastAsiaTheme="majorEastAsia" w:cs="Segoe UI"/>
          <w:color w:val="auto"/>
          <w:lang w:val="en-GB"/>
        </w:rPr>
        <w:t xml:space="preserve"> public library visitors used technology</w:t>
      </w:r>
      <w:r w:rsidR="009A62D1" w:rsidRPr="00EC5C45">
        <w:rPr>
          <w:rStyle w:val="eop"/>
          <w:rFonts w:eastAsiaTheme="majorEastAsia" w:cs="Segoe UI"/>
          <w:color w:val="auto"/>
          <w:lang w:val="en-GB"/>
        </w:rPr>
        <w:t xml:space="preserve"> provided there</w:t>
      </w:r>
      <w:r w:rsidRPr="00EC5C45">
        <w:rPr>
          <w:rStyle w:val="eop"/>
          <w:rFonts w:eastAsiaTheme="majorEastAsia" w:cs="Segoe UI"/>
          <w:color w:val="auto"/>
          <w:lang w:val="en-GB"/>
        </w:rPr>
        <w:t xml:space="preserve"> for business communications, and 62% of those who used library services to apply for a job received a</w:t>
      </w:r>
      <w:r w:rsidR="00EC5C45">
        <w:rPr>
          <w:rStyle w:val="eop"/>
          <w:rFonts w:eastAsiaTheme="majorEastAsia" w:cs="Segoe UI"/>
          <w:color w:val="auto"/>
          <w:lang w:val="en-GB"/>
        </w:rPr>
        <w:t>n</w:t>
      </w:r>
      <w:r w:rsidRPr="00EC5C45">
        <w:rPr>
          <w:rStyle w:val="eop"/>
          <w:rFonts w:eastAsiaTheme="majorEastAsia" w:cs="Segoe UI"/>
          <w:color w:val="auto"/>
          <w:lang w:val="en-GB"/>
        </w:rPr>
        <w:t xml:space="preserve"> offer.</w:t>
      </w:r>
      <w:r w:rsidRPr="00EC5C45">
        <w:rPr>
          <w:rStyle w:val="FootnoteReference"/>
          <w:rFonts w:eastAsiaTheme="majorEastAsia" w:cs="Segoe UI"/>
          <w:color w:val="auto"/>
          <w:lang w:val="en-GB"/>
        </w:rPr>
        <w:footnoteReference w:id="22"/>
      </w:r>
      <w:r w:rsidR="00BC7C76" w:rsidRPr="00EC5C45">
        <w:rPr>
          <w:rStyle w:val="eop"/>
          <w:rFonts w:eastAsiaTheme="majorEastAsia" w:cs="Segoe UI"/>
          <w:color w:val="auto"/>
          <w:lang w:val="en-GB"/>
        </w:rPr>
        <w:t xml:space="preserve"> </w:t>
      </w:r>
      <w:r w:rsidRPr="00EC5C45">
        <w:rPr>
          <w:color w:val="auto"/>
          <w:lang w:val="en-GB"/>
        </w:rPr>
        <w:t>In New York City, the Science, Industry and Business Library, Queens Public Library, and Brooklyn’s Business and Career Library (B&amp;CL) run popular business plan competitions that offer guidance to participants, targeting current and prospective business owners from underserved communities.</w:t>
      </w:r>
      <w:r w:rsidRPr="00EC5C45">
        <w:rPr>
          <w:rStyle w:val="FootnoteReference"/>
          <w:color w:val="auto"/>
          <w:lang w:val="en-GB"/>
        </w:rPr>
        <w:footnoteReference w:id="23"/>
      </w:r>
      <w:r w:rsidR="00BC7C76" w:rsidRPr="00EC5C45">
        <w:rPr>
          <w:color w:val="auto"/>
          <w:lang w:val="en-GB"/>
        </w:rPr>
        <w:t xml:space="preserve"> </w:t>
      </w:r>
      <w:r w:rsidRPr="00EC5C45">
        <w:rPr>
          <w:rFonts w:eastAsiaTheme="majorEastAsia" w:cs="Segoe UI"/>
          <w:color w:val="auto"/>
          <w:lang w:val="en-GB"/>
        </w:rPr>
        <w:t xml:space="preserve">In the European </w:t>
      </w:r>
      <w:r w:rsidR="00BD3B0E" w:rsidRPr="00EC5C45">
        <w:rPr>
          <w:rFonts w:eastAsiaTheme="majorEastAsia" w:cs="Segoe UI"/>
          <w:color w:val="auto"/>
          <w:lang w:val="en-GB"/>
        </w:rPr>
        <w:t>Union</w:t>
      </w:r>
      <w:r w:rsidRPr="00EC5C45">
        <w:rPr>
          <w:rFonts w:eastAsiaTheme="majorEastAsia" w:cs="Segoe UI"/>
          <w:color w:val="auto"/>
          <w:lang w:val="en-GB"/>
        </w:rPr>
        <w:t>, 1</w:t>
      </w:r>
      <w:r w:rsidR="009A62D1" w:rsidRPr="00EC5C45">
        <w:rPr>
          <w:rFonts w:eastAsiaTheme="majorEastAsia" w:cs="Segoe UI"/>
          <w:color w:val="auto"/>
          <w:lang w:val="en-GB"/>
        </w:rPr>
        <w:t>.</w:t>
      </w:r>
      <w:r w:rsidRPr="00EC5C45">
        <w:rPr>
          <w:rFonts w:eastAsiaTheme="majorEastAsia" w:cs="Segoe UI"/>
          <w:color w:val="auto"/>
          <w:lang w:val="en-GB"/>
        </w:rPr>
        <w:t xml:space="preserve">5 million </w:t>
      </w:r>
      <w:r w:rsidR="00DD08ED" w:rsidRPr="00EC5C45">
        <w:rPr>
          <w:rFonts w:eastAsiaTheme="majorEastAsia" w:cs="Segoe UI"/>
          <w:color w:val="auto"/>
          <w:lang w:val="en-GB"/>
        </w:rPr>
        <w:t xml:space="preserve">people </w:t>
      </w:r>
      <w:r w:rsidRPr="00EC5C45">
        <w:rPr>
          <w:rFonts w:eastAsiaTheme="majorEastAsia" w:cs="Segoe UI"/>
          <w:color w:val="auto"/>
          <w:lang w:val="en-GB"/>
        </w:rPr>
        <w:t>used public library computers to apply for jobs</w:t>
      </w:r>
      <w:r w:rsidR="00BD3B0E" w:rsidRPr="00EC5C45">
        <w:rPr>
          <w:rFonts w:eastAsiaTheme="majorEastAsia" w:cs="Segoe UI"/>
          <w:color w:val="auto"/>
          <w:lang w:val="en-GB"/>
        </w:rPr>
        <w:t xml:space="preserve"> in 2012</w:t>
      </w:r>
      <w:r w:rsidRPr="00EC5C45">
        <w:rPr>
          <w:rFonts w:eastAsiaTheme="majorEastAsia" w:cs="Segoe UI"/>
          <w:color w:val="auto"/>
          <w:lang w:val="en-GB"/>
        </w:rPr>
        <w:t xml:space="preserve">, and more than a quarter of a million </w:t>
      </w:r>
      <w:r w:rsidR="00DD08ED" w:rsidRPr="00EC5C45">
        <w:rPr>
          <w:rFonts w:eastAsiaTheme="majorEastAsia" w:cs="Segoe UI"/>
          <w:color w:val="auto"/>
          <w:lang w:val="en-GB"/>
        </w:rPr>
        <w:t xml:space="preserve">of them </w:t>
      </w:r>
      <w:r w:rsidRPr="00EC5C45">
        <w:rPr>
          <w:rFonts w:eastAsiaTheme="majorEastAsia" w:cs="Segoe UI"/>
          <w:color w:val="auto"/>
          <w:lang w:val="en-GB"/>
        </w:rPr>
        <w:t>secured jobs this way.</w:t>
      </w:r>
      <w:r w:rsidRPr="00EC5C45">
        <w:rPr>
          <w:rStyle w:val="FootnoteReference"/>
          <w:rFonts w:eastAsiaTheme="majorEastAsia" w:cs="Segoe UI"/>
          <w:color w:val="auto"/>
          <w:lang w:val="en-GB"/>
        </w:rPr>
        <w:footnoteReference w:id="24"/>
      </w:r>
      <w:r w:rsidR="00713CA3" w:rsidRPr="00EC5C45">
        <w:rPr>
          <w:rFonts w:eastAsiaTheme="majorEastAsia" w:cs="Segoe UI"/>
          <w:color w:val="auto"/>
          <w:lang w:val="en-GB"/>
        </w:rPr>
        <w:t xml:space="preserve"> </w:t>
      </w:r>
      <w:r w:rsidR="00713CA3" w:rsidRPr="00060D01">
        <w:rPr>
          <w:rFonts w:eastAsia="Calibri" w:cs="Calibri"/>
          <w:color w:val="auto"/>
          <w:lang w:val="en-GB"/>
        </w:rPr>
        <w:t>In Croatia</w:t>
      </w:r>
      <w:r w:rsidR="002A05E2" w:rsidRPr="00060D01">
        <w:rPr>
          <w:rFonts w:eastAsia="Calibri" w:cs="Calibri"/>
          <w:color w:val="auto"/>
          <w:lang w:val="en-GB"/>
        </w:rPr>
        <w:t>, Rijeka City Library opened a lively makerspace</w:t>
      </w:r>
      <w:r w:rsidR="00713CA3" w:rsidRPr="00060D01">
        <w:rPr>
          <w:rFonts w:eastAsia="Calibri" w:cs="Calibri"/>
          <w:color w:val="auto"/>
          <w:lang w:val="en-GB"/>
        </w:rPr>
        <w:t>, equipped with laptop computers with 3D design software, 3D printers</w:t>
      </w:r>
      <w:r w:rsidR="002A05E2" w:rsidRPr="00060D01">
        <w:rPr>
          <w:rFonts w:eastAsia="Calibri" w:cs="Calibri"/>
          <w:color w:val="auto"/>
          <w:lang w:val="en-GB"/>
        </w:rPr>
        <w:t>,</w:t>
      </w:r>
      <w:r w:rsidR="00713CA3" w:rsidRPr="00060D01">
        <w:rPr>
          <w:rFonts w:eastAsia="Calibri" w:cs="Calibri"/>
          <w:color w:val="auto"/>
          <w:lang w:val="en-GB"/>
        </w:rPr>
        <w:t xml:space="preserve"> a 3D scanner for 3D printing workshops, and Raspberry Pi mini-computers</w:t>
      </w:r>
      <w:r w:rsidR="002A05E2" w:rsidRPr="00060D01">
        <w:rPr>
          <w:rFonts w:eastAsia="Calibri" w:cs="Calibri"/>
          <w:color w:val="auto"/>
          <w:lang w:val="en-GB"/>
        </w:rPr>
        <w:t xml:space="preserve"> – </w:t>
      </w:r>
      <w:r w:rsidR="008A16D2" w:rsidRPr="00060D01">
        <w:rPr>
          <w:rFonts w:eastAsia="Calibri" w:cs="Calibri"/>
          <w:color w:val="auto"/>
          <w:lang w:val="en-GB"/>
        </w:rPr>
        <w:t xml:space="preserve">all </w:t>
      </w:r>
      <w:r w:rsidR="002A05E2" w:rsidRPr="00060D01">
        <w:rPr>
          <w:rFonts w:eastAsia="Calibri" w:cs="Calibri"/>
          <w:color w:val="auto"/>
          <w:lang w:val="en-GB"/>
        </w:rPr>
        <w:t>tools that allow</w:t>
      </w:r>
      <w:r w:rsidR="00713CA3" w:rsidRPr="00060D01">
        <w:rPr>
          <w:rFonts w:eastAsia="Calibri" w:cs="Calibri"/>
          <w:color w:val="auto"/>
          <w:lang w:val="en-GB"/>
        </w:rPr>
        <w:t xml:space="preserve"> young people </w:t>
      </w:r>
      <w:r w:rsidR="002A05E2" w:rsidRPr="00060D01">
        <w:rPr>
          <w:rFonts w:eastAsia="Calibri" w:cs="Calibri"/>
          <w:color w:val="auto"/>
          <w:lang w:val="en-GB"/>
        </w:rPr>
        <w:t xml:space="preserve">to </w:t>
      </w:r>
      <w:r w:rsidR="00713CA3" w:rsidRPr="00060D01">
        <w:rPr>
          <w:rFonts w:eastAsia="Calibri" w:cs="Calibri"/>
          <w:color w:val="auto"/>
          <w:lang w:val="en-GB"/>
        </w:rPr>
        <w:t>learn and work on creative projects, and advance their knowledge of computer technology.</w:t>
      </w:r>
      <w:r w:rsidR="00713CA3" w:rsidRPr="00060D01">
        <w:rPr>
          <w:rFonts w:eastAsia="Calibri" w:cs="Calibri"/>
          <w:color w:val="auto"/>
          <w:vertAlign w:val="superscript"/>
          <w:lang w:val="en-GB"/>
        </w:rPr>
        <w:footnoteReference w:id="25"/>
      </w:r>
    </w:p>
    <w:p w14:paraId="5F927310" w14:textId="77777777" w:rsidR="00180885" w:rsidRPr="00EC5C45" w:rsidRDefault="00180885" w:rsidP="00971855">
      <w:pPr>
        <w:pStyle w:val="Heading3"/>
        <w:rPr>
          <w:lang w:val="en-GB"/>
        </w:rPr>
      </w:pPr>
      <w:r w:rsidRPr="00EC5C45">
        <w:rPr>
          <w:lang w:val="en-GB"/>
        </w:rPr>
        <w:t>SDG 9: Industry, Innovation, and Infrastructure</w:t>
      </w:r>
    </w:p>
    <w:p w14:paraId="10552932" w14:textId="1BC455E2" w:rsidR="003D2255" w:rsidRPr="00EC5C45" w:rsidRDefault="006824B3" w:rsidP="00971855">
      <w:pPr>
        <w:pStyle w:val="Text"/>
        <w:rPr>
          <w:color w:val="auto"/>
          <w:bdr w:val="none" w:sz="0" w:space="0" w:color="auto"/>
          <w:lang w:val="en-GB"/>
        </w:rPr>
      </w:pPr>
      <w:r w:rsidRPr="00060D01">
        <w:rPr>
          <w:color w:val="auto"/>
          <w:lang w:val="en-GB"/>
        </w:rPr>
        <w:t xml:space="preserve">Libraries are at the heart of research and academic life. They provide access to high speed </w:t>
      </w:r>
      <w:r w:rsidR="0069201A" w:rsidRPr="00060D01">
        <w:rPr>
          <w:color w:val="auto"/>
          <w:lang w:val="en-GB"/>
        </w:rPr>
        <w:t>Internet</w:t>
      </w:r>
      <w:r w:rsidRPr="00060D01">
        <w:rPr>
          <w:color w:val="auto"/>
          <w:lang w:val="en-GB"/>
        </w:rPr>
        <w:t xml:space="preserve">, research infrastructure and skilled professionals. In many countries, public and educational libraries are the major or only providers of </w:t>
      </w:r>
      <w:r w:rsidR="0069201A" w:rsidRPr="00060D01">
        <w:rPr>
          <w:color w:val="auto"/>
          <w:lang w:val="en-GB"/>
        </w:rPr>
        <w:t>Internet</w:t>
      </w:r>
      <w:r w:rsidRPr="00060D01">
        <w:rPr>
          <w:color w:val="auto"/>
          <w:lang w:val="en-GB"/>
        </w:rPr>
        <w:t xml:space="preserve"> access at low or no cost, a</w:t>
      </w:r>
      <w:r w:rsidR="00DD08ED" w:rsidRPr="00060D01">
        <w:rPr>
          <w:color w:val="auto"/>
          <w:lang w:val="en-GB"/>
        </w:rPr>
        <w:t>nd</w:t>
      </w:r>
      <w:r w:rsidR="008B0187" w:rsidRPr="00060D01">
        <w:rPr>
          <w:color w:val="auto"/>
          <w:lang w:val="en-GB"/>
        </w:rPr>
        <w:t xml:space="preserve"> so are</w:t>
      </w:r>
      <w:r w:rsidR="00DD08ED" w:rsidRPr="00060D01">
        <w:rPr>
          <w:color w:val="auto"/>
          <w:lang w:val="en-GB"/>
        </w:rPr>
        <w:t xml:space="preserve"> a</w:t>
      </w:r>
      <w:r w:rsidRPr="00060D01">
        <w:rPr>
          <w:color w:val="auto"/>
          <w:lang w:val="en-GB"/>
        </w:rPr>
        <w:t xml:space="preserve"> critical means of increasing connectivity.</w:t>
      </w:r>
      <w:r w:rsidR="00DE656D" w:rsidRPr="00060D01">
        <w:rPr>
          <w:rStyle w:val="FootnoteReference"/>
          <w:color w:val="auto"/>
          <w:lang w:val="en-GB"/>
        </w:rPr>
        <w:footnoteReference w:id="26"/>
      </w:r>
      <w:r w:rsidR="009E1977" w:rsidRPr="00060D01">
        <w:rPr>
          <w:color w:val="auto"/>
          <w:lang w:val="en-GB"/>
        </w:rPr>
        <w:t xml:space="preserve"> </w:t>
      </w:r>
      <w:r w:rsidR="00971855" w:rsidRPr="00060D01">
        <w:rPr>
          <w:color w:val="auto"/>
          <w:lang w:val="en-GB"/>
        </w:rPr>
        <w:t>One example of the economic impact of libraries can be seen in Latvia, where for</w:t>
      </w:r>
      <w:r w:rsidR="003D2255" w:rsidRPr="00EC5C45">
        <w:rPr>
          <w:color w:val="auto"/>
          <w:bdr w:val="none" w:sz="0" w:space="0" w:color="auto"/>
          <w:lang w:val="en-GB"/>
        </w:rPr>
        <w:t xml:space="preserve"> every dollar</w:t>
      </w:r>
      <w:r w:rsidR="00971855" w:rsidRPr="00EC5C45">
        <w:rPr>
          <w:color w:val="auto"/>
          <w:bdr w:val="none" w:sz="0" w:space="0" w:color="auto"/>
          <w:lang w:val="en-GB"/>
        </w:rPr>
        <w:t xml:space="preserve"> invested in public libraries</w:t>
      </w:r>
      <w:r w:rsidR="003D2255" w:rsidRPr="00EC5C45">
        <w:rPr>
          <w:color w:val="auto"/>
          <w:bdr w:val="none" w:sz="0" w:space="0" w:color="auto"/>
          <w:lang w:val="en-GB"/>
        </w:rPr>
        <w:t xml:space="preserve"> from 2008</w:t>
      </w:r>
      <w:r w:rsidR="00BE525D" w:rsidRPr="00EC5C45">
        <w:rPr>
          <w:color w:val="auto"/>
          <w:bdr w:val="none" w:sz="0" w:space="0" w:color="auto"/>
          <w:lang w:val="en-GB"/>
        </w:rPr>
        <w:t>—</w:t>
      </w:r>
      <w:r w:rsidR="003D2255" w:rsidRPr="00EC5C45">
        <w:rPr>
          <w:color w:val="auto"/>
          <w:bdr w:val="none" w:sz="0" w:space="0" w:color="auto"/>
          <w:lang w:val="en-GB"/>
        </w:rPr>
        <w:t>2010, nearly $2 in value (direct and indirect) was created. The return on investment of computer</w:t>
      </w:r>
      <w:r w:rsidR="00BE525D" w:rsidRPr="00EC5C45">
        <w:rPr>
          <w:color w:val="auto"/>
          <w:bdr w:val="none" w:sz="0" w:space="0" w:color="auto"/>
          <w:lang w:val="en-GB"/>
        </w:rPr>
        <w:t>s</w:t>
      </w:r>
      <w:r w:rsidR="003D2255" w:rsidRPr="00EC5C45">
        <w:rPr>
          <w:color w:val="auto"/>
          <w:bdr w:val="none" w:sz="0" w:space="0" w:color="auto"/>
          <w:lang w:val="en-GB"/>
        </w:rPr>
        <w:t xml:space="preserve"> and </w:t>
      </w:r>
      <w:r w:rsidR="0069201A" w:rsidRPr="00EC5C45">
        <w:rPr>
          <w:color w:val="auto"/>
          <w:bdr w:val="none" w:sz="0" w:space="0" w:color="auto"/>
          <w:lang w:val="en-GB"/>
        </w:rPr>
        <w:t>Internet</w:t>
      </w:r>
      <w:r w:rsidR="003D2255" w:rsidRPr="00EC5C45">
        <w:rPr>
          <w:color w:val="auto"/>
          <w:bdr w:val="none" w:sz="0" w:space="0" w:color="auto"/>
          <w:lang w:val="en-GB"/>
        </w:rPr>
        <w:t xml:space="preserve"> use in public libraries was even higher, returning more than $3 for every $1 invested.</w:t>
      </w:r>
      <w:r w:rsidR="003D2255" w:rsidRPr="00EC5C45">
        <w:rPr>
          <w:rStyle w:val="FootnoteReference"/>
          <w:color w:val="auto"/>
          <w:bdr w:val="none" w:sz="0" w:space="0" w:color="auto"/>
          <w:lang w:val="en-GB"/>
        </w:rPr>
        <w:footnoteReference w:id="27"/>
      </w:r>
    </w:p>
    <w:p w14:paraId="6C03E3B3" w14:textId="77777777" w:rsidR="00D629C8" w:rsidRPr="00060D01" w:rsidRDefault="00D629C8" w:rsidP="00D629C8">
      <w:pPr>
        <w:pStyle w:val="Heading3"/>
        <w:rPr>
          <w:lang w:val="en-GB"/>
        </w:rPr>
      </w:pPr>
      <w:r w:rsidRPr="00060D01">
        <w:rPr>
          <w:lang w:val="en-GB"/>
        </w:rPr>
        <w:t>SDG 13: CLIMATE ACTION</w:t>
      </w:r>
    </w:p>
    <w:p w14:paraId="51BA1D53" w14:textId="78F55EDB" w:rsidR="00D629C8" w:rsidRPr="00060D01" w:rsidRDefault="005716F4" w:rsidP="00D629C8">
      <w:pPr>
        <w:pStyle w:val="Text"/>
        <w:rPr>
          <w:color w:val="auto"/>
          <w:lang w:val="en-GB"/>
        </w:rPr>
      </w:pPr>
      <w:proofErr w:type="spellStart"/>
      <w:r w:rsidRPr="00060D01">
        <w:rPr>
          <w:color w:val="auto"/>
          <w:lang w:val="en-GB"/>
        </w:rPr>
        <w:t>Cyberiada</w:t>
      </w:r>
      <w:proofErr w:type="spellEnd"/>
      <w:r w:rsidRPr="00060D01">
        <w:rPr>
          <w:color w:val="auto"/>
          <w:lang w:val="en-GB"/>
        </w:rPr>
        <w:t xml:space="preserve">, </w:t>
      </w:r>
      <w:r w:rsidR="00D629C8" w:rsidRPr="00060D01">
        <w:rPr>
          <w:color w:val="auto"/>
          <w:lang w:val="en-GB"/>
        </w:rPr>
        <w:t xml:space="preserve">a branch library of a public library in </w:t>
      </w:r>
      <w:proofErr w:type="spellStart"/>
      <w:r w:rsidR="00D629C8" w:rsidRPr="00060D01">
        <w:rPr>
          <w:color w:val="auto"/>
          <w:lang w:val="en-GB"/>
        </w:rPr>
        <w:t>Elbl</w:t>
      </w:r>
      <w:r w:rsidR="008B0187" w:rsidRPr="00060D01">
        <w:rPr>
          <w:color w:val="auto"/>
          <w:lang w:val="en-GB"/>
        </w:rPr>
        <w:t>ą</w:t>
      </w:r>
      <w:r w:rsidR="00D629C8" w:rsidRPr="00060D01">
        <w:rPr>
          <w:color w:val="auto"/>
          <w:lang w:val="en-GB"/>
        </w:rPr>
        <w:t>g</w:t>
      </w:r>
      <w:proofErr w:type="spellEnd"/>
      <w:r w:rsidR="00D629C8" w:rsidRPr="00060D01">
        <w:rPr>
          <w:color w:val="auto"/>
          <w:lang w:val="en-GB"/>
        </w:rPr>
        <w:t>, Poland</w:t>
      </w:r>
      <w:r w:rsidR="006C02EE" w:rsidRPr="00060D01">
        <w:rPr>
          <w:color w:val="auto"/>
          <w:lang w:val="en-GB"/>
        </w:rPr>
        <w:t>,</w:t>
      </w:r>
      <w:r w:rsidR="00D629C8" w:rsidRPr="00060D01">
        <w:rPr>
          <w:color w:val="auto"/>
          <w:lang w:val="en-GB"/>
        </w:rPr>
        <w:t xml:space="preserve"> partnered with environmental experts and ecologists to design an interactive education programme</w:t>
      </w:r>
      <w:r w:rsidR="006C02EE" w:rsidRPr="00060D01">
        <w:rPr>
          <w:color w:val="auto"/>
          <w:lang w:val="en-GB"/>
        </w:rPr>
        <w:t xml:space="preserve"> on ecology and the environment.</w:t>
      </w:r>
      <w:r w:rsidR="00D629C8" w:rsidRPr="00060D01">
        <w:rPr>
          <w:color w:val="auto"/>
          <w:lang w:val="en-GB"/>
        </w:rPr>
        <w:t xml:space="preserve"> </w:t>
      </w:r>
      <w:r w:rsidR="006C02EE" w:rsidRPr="00060D01">
        <w:rPr>
          <w:color w:val="auto"/>
          <w:lang w:val="en-GB"/>
        </w:rPr>
        <w:t>The programme</w:t>
      </w:r>
      <w:r w:rsidR="00D629C8" w:rsidRPr="00060D01">
        <w:rPr>
          <w:color w:val="auto"/>
          <w:lang w:val="en-GB"/>
        </w:rPr>
        <w:t xml:space="preserve"> enabled over 2</w:t>
      </w:r>
      <w:r w:rsidR="00BE525D" w:rsidRPr="00060D01">
        <w:rPr>
          <w:color w:val="auto"/>
          <w:lang w:val="en-GB"/>
        </w:rPr>
        <w:t>,</w:t>
      </w:r>
      <w:r w:rsidR="00D629C8" w:rsidRPr="00060D01">
        <w:rPr>
          <w:color w:val="auto"/>
          <w:lang w:val="en-GB"/>
        </w:rPr>
        <w:t>000 children to learn about environmentally</w:t>
      </w:r>
      <w:r w:rsidR="004451EE" w:rsidRPr="00060D01">
        <w:rPr>
          <w:color w:val="auto"/>
          <w:lang w:val="en-GB"/>
        </w:rPr>
        <w:t xml:space="preserve"> </w:t>
      </w:r>
      <w:r w:rsidR="00D629C8" w:rsidRPr="00060D01">
        <w:rPr>
          <w:color w:val="auto"/>
          <w:lang w:val="en-GB"/>
        </w:rPr>
        <w:t>friendly lifestyle</w:t>
      </w:r>
      <w:r w:rsidR="008B0187" w:rsidRPr="00060D01">
        <w:rPr>
          <w:color w:val="auto"/>
          <w:lang w:val="en-GB"/>
        </w:rPr>
        <w:t>s</w:t>
      </w:r>
      <w:r w:rsidR="00D629C8" w:rsidRPr="00060D01">
        <w:rPr>
          <w:color w:val="auto"/>
          <w:lang w:val="en-GB"/>
        </w:rPr>
        <w:t>.</w:t>
      </w:r>
      <w:r w:rsidR="00D629C8" w:rsidRPr="00060D01">
        <w:rPr>
          <w:color w:val="auto"/>
          <w:vertAlign w:val="superscript"/>
          <w:lang w:val="en-GB"/>
        </w:rPr>
        <w:footnoteReference w:id="28"/>
      </w:r>
      <w:r w:rsidR="00D629C8" w:rsidRPr="00060D01">
        <w:rPr>
          <w:color w:val="auto"/>
          <w:lang w:val="en-GB"/>
        </w:rPr>
        <w:t xml:space="preserve">  </w:t>
      </w:r>
    </w:p>
    <w:p w14:paraId="2E1A2AB9" w14:textId="37122430" w:rsidR="00FB461E" w:rsidRPr="00EC5C45" w:rsidRDefault="00FB461E" w:rsidP="00FB461E">
      <w:pPr>
        <w:pStyle w:val="Heading3"/>
        <w:rPr>
          <w:bdr w:val="none" w:sz="0" w:space="0" w:color="auto"/>
          <w:lang w:val="en-GB"/>
        </w:rPr>
      </w:pPr>
      <w:r w:rsidRPr="00EC5C45">
        <w:rPr>
          <w:bdr w:val="none" w:sz="0" w:space="0" w:color="auto"/>
          <w:lang w:val="en-GB"/>
        </w:rPr>
        <w:t>SDG 16: Peace, Justice and Strong Institutions</w:t>
      </w:r>
    </w:p>
    <w:p w14:paraId="551A4256" w14:textId="6B2E2EBC" w:rsidR="00FB461E" w:rsidRPr="00060D01" w:rsidRDefault="00FB461E" w:rsidP="005A5956">
      <w:pPr>
        <w:pStyle w:val="Text"/>
        <w:rPr>
          <w:lang w:val="en-GB"/>
        </w:rPr>
      </w:pPr>
      <w:r w:rsidRPr="00060D01">
        <w:rPr>
          <w:lang w:val="en-GB"/>
        </w:rPr>
        <w:t xml:space="preserve">It must be the obligation of </w:t>
      </w:r>
      <w:r w:rsidR="00C10D86" w:rsidRPr="00060D01">
        <w:rPr>
          <w:lang w:val="en-GB"/>
        </w:rPr>
        <w:t>a government</w:t>
      </w:r>
      <w:r w:rsidRPr="00060D01">
        <w:rPr>
          <w:lang w:val="en-GB"/>
        </w:rPr>
        <w:t xml:space="preserve"> to </w:t>
      </w:r>
      <w:r w:rsidR="00C10D86" w:rsidRPr="00060D01">
        <w:rPr>
          <w:lang w:val="en-GB"/>
        </w:rPr>
        <w:t xml:space="preserve">ensure </w:t>
      </w:r>
      <w:r w:rsidRPr="00060D01">
        <w:rPr>
          <w:lang w:val="en-GB"/>
        </w:rPr>
        <w:t>access to public information and services (</w:t>
      </w:r>
      <w:r w:rsidR="004451EE" w:rsidRPr="00060D01">
        <w:rPr>
          <w:lang w:val="en-GB"/>
        </w:rPr>
        <w:t xml:space="preserve">e.g. </w:t>
      </w:r>
      <w:r w:rsidRPr="00060D01">
        <w:rPr>
          <w:lang w:val="en-GB"/>
        </w:rPr>
        <w:t xml:space="preserve">government forms) at all levels. </w:t>
      </w:r>
      <w:r w:rsidR="005A5956" w:rsidRPr="00060D01">
        <w:rPr>
          <w:lang w:val="en-GB"/>
        </w:rPr>
        <w:t>As</w:t>
      </w:r>
      <w:r w:rsidRPr="00060D01">
        <w:rPr>
          <w:lang w:val="en-GB"/>
        </w:rPr>
        <w:t xml:space="preserve"> many such services </w:t>
      </w:r>
      <w:r w:rsidR="005A5956" w:rsidRPr="00060D01">
        <w:rPr>
          <w:lang w:val="en-GB"/>
        </w:rPr>
        <w:t xml:space="preserve">move to an online environment, commonly referred to as </w:t>
      </w:r>
      <w:proofErr w:type="spellStart"/>
      <w:r w:rsidR="005A5956" w:rsidRPr="00060D01">
        <w:rPr>
          <w:lang w:val="en-GB"/>
        </w:rPr>
        <w:t>eGovernment</w:t>
      </w:r>
      <w:proofErr w:type="spellEnd"/>
      <w:r w:rsidR="005A5956" w:rsidRPr="00060D01">
        <w:rPr>
          <w:lang w:val="en-GB"/>
        </w:rPr>
        <w:t>,</w:t>
      </w:r>
      <w:r w:rsidRPr="00060D01">
        <w:rPr>
          <w:lang w:val="en-GB"/>
        </w:rPr>
        <w:t xml:space="preserve"> </w:t>
      </w:r>
      <w:r w:rsidR="005A5956" w:rsidRPr="00060D01">
        <w:rPr>
          <w:lang w:val="en-GB"/>
        </w:rPr>
        <w:t xml:space="preserve">there must be </w:t>
      </w:r>
      <w:r w:rsidR="00544FA6">
        <w:rPr>
          <w:lang w:val="en-GB"/>
        </w:rPr>
        <w:t xml:space="preserve">support and advice for </w:t>
      </w:r>
      <w:r w:rsidR="00DC6019" w:rsidRPr="00060D01">
        <w:rPr>
          <w:lang w:val="en-GB"/>
        </w:rPr>
        <w:t xml:space="preserve">citizens </w:t>
      </w:r>
      <w:r w:rsidR="008B0187" w:rsidRPr="00060D01">
        <w:rPr>
          <w:lang w:val="en-GB"/>
        </w:rPr>
        <w:t xml:space="preserve">on </w:t>
      </w:r>
      <w:r w:rsidR="00DC6019" w:rsidRPr="00060D01">
        <w:rPr>
          <w:lang w:val="en-GB"/>
        </w:rPr>
        <w:t xml:space="preserve">the digital </w:t>
      </w:r>
      <w:r w:rsidR="008B0187" w:rsidRPr="00060D01">
        <w:rPr>
          <w:lang w:val="en-GB"/>
        </w:rPr>
        <w:t>transition</w:t>
      </w:r>
      <w:r w:rsidR="005A5956" w:rsidRPr="00060D01">
        <w:rPr>
          <w:lang w:val="en-GB"/>
        </w:rPr>
        <w:t xml:space="preserve">. </w:t>
      </w:r>
      <w:proofErr w:type="spellStart"/>
      <w:r w:rsidR="005A5956" w:rsidRPr="00060D01">
        <w:rPr>
          <w:lang w:val="en-GB"/>
        </w:rPr>
        <w:t>eGovernment</w:t>
      </w:r>
      <w:proofErr w:type="spellEnd"/>
      <w:r w:rsidR="005A5956" w:rsidRPr="00060D01">
        <w:rPr>
          <w:lang w:val="en-GB"/>
        </w:rPr>
        <w:t xml:space="preserve"> has many benefits in terms of </w:t>
      </w:r>
      <w:r w:rsidRPr="00060D01">
        <w:rPr>
          <w:lang w:val="en-GB"/>
        </w:rPr>
        <w:t>reduc</w:t>
      </w:r>
      <w:r w:rsidR="005A5956" w:rsidRPr="00060D01">
        <w:rPr>
          <w:lang w:val="en-GB"/>
        </w:rPr>
        <w:t>ing</w:t>
      </w:r>
      <w:r w:rsidRPr="00060D01">
        <w:rPr>
          <w:lang w:val="en-GB"/>
        </w:rPr>
        <w:t xml:space="preserve"> costs </w:t>
      </w:r>
      <w:r w:rsidR="005A5956" w:rsidRPr="00060D01">
        <w:rPr>
          <w:lang w:val="en-GB"/>
        </w:rPr>
        <w:t xml:space="preserve">(mainly for materials and administrative staff) </w:t>
      </w:r>
      <w:r w:rsidRPr="00060D01">
        <w:rPr>
          <w:lang w:val="en-GB"/>
        </w:rPr>
        <w:t xml:space="preserve">and </w:t>
      </w:r>
      <w:r w:rsidR="005A5956" w:rsidRPr="00060D01">
        <w:rPr>
          <w:lang w:val="en-GB"/>
        </w:rPr>
        <w:t>increas</w:t>
      </w:r>
      <w:r w:rsidR="008B0187" w:rsidRPr="00060D01">
        <w:rPr>
          <w:lang w:val="en-GB"/>
        </w:rPr>
        <w:t>ing</w:t>
      </w:r>
      <w:r w:rsidR="005A5956" w:rsidRPr="00060D01">
        <w:rPr>
          <w:lang w:val="en-GB"/>
        </w:rPr>
        <w:t xml:space="preserve"> productivity, but</w:t>
      </w:r>
      <w:r w:rsidR="00544FA6">
        <w:rPr>
          <w:lang w:val="en-GB"/>
        </w:rPr>
        <w:t xml:space="preserve"> will only succeed</w:t>
      </w:r>
      <w:r w:rsidR="008B0187" w:rsidRPr="00060D01">
        <w:rPr>
          <w:lang w:val="en-GB"/>
        </w:rPr>
        <w:t xml:space="preserve"> only if citizens are enabled to use them. T</w:t>
      </w:r>
      <w:r w:rsidR="005A5956" w:rsidRPr="00060D01">
        <w:rPr>
          <w:lang w:val="en-GB"/>
        </w:rPr>
        <w:t>he sometimes</w:t>
      </w:r>
      <w:r w:rsidR="008B0187" w:rsidRPr="00060D01">
        <w:rPr>
          <w:lang w:val="en-GB"/>
        </w:rPr>
        <w:t>-</w:t>
      </w:r>
      <w:r w:rsidR="005A5956" w:rsidRPr="00060D01">
        <w:rPr>
          <w:lang w:val="en-GB"/>
        </w:rPr>
        <w:t>offered government</w:t>
      </w:r>
      <w:r w:rsidR="00C10D86" w:rsidRPr="00060D01">
        <w:rPr>
          <w:lang w:val="en-GB"/>
        </w:rPr>
        <w:t xml:space="preserve"> response</w:t>
      </w:r>
      <w:r w:rsidR="00DC6019" w:rsidRPr="00060D01">
        <w:rPr>
          <w:lang w:val="en-GB"/>
        </w:rPr>
        <w:t xml:space="preserve"> to the access gap</w:t>
      </w:r>
      <w:r w:rsidR="005A5956" w:rsidRPr="00060D01">
        <w:rPr>
          <w:lang w:val="en-GB"/>
        </w:rPr>
        <w:t xml:space="preserve"> –</w:t>
      </w:r>
      <w:r w:rsidR="00C10D86" w:rsidRPr="00060D01">
        <w:rPr>
          <w:lang w:val="en-GB"/>
        </w:rPr>
        <w:t xml:space="preserve"> </w:t>
      </w:r>
      <w:r w:rsidRPr="00060D01">
        <w:rPr>
          <w:lang w:val="en-GB"/>
        </w:rPr>
        <w:t>"Go</w:t>
      </w:r>
      <w:r w:rsidR="005A5956" w:rsidRPr="00060D01">
        <w:rPr>
          <w:lang w:val="en-GB"/>
        </w:rPr>
        <w:t xml:space="preserve"> </w:t>
      </w:r>
      <w:r w:rsidRPr="00060D01">
        <w:rPr>
          <w:lang w:val="en-GB"/>
        </w:rPr>
        <w:t>t</w:t>
      </w:r>
      <w:r w:rsidR="00467F0B" w:rsidRPr="00060D01">
        <w:rPr>
          <w:lang w:val="en-GB"/>
        </w:rPr>
        <w:t>o the library. They'll help you</w:t>
      </w:r>
      <w:r w:rsidRPr="00060D01">
        <w:rPr>
          <w:lang w:val="en-GB"/>
        </w:rPr>
        <w:t xml:space="preserve">" </w:t>
      </w:r>
      <w:r w:rsidR="005A5956" w:rsidRPr="00060D01">
        <w:rPr>
          <w:lang w:val="en-GB"/>
        </w:rPr>
        <w:t xml:space="preserve">– is not </w:t>
      </w:r>
      <w:r w:rsidR="008B0187" w:rsidRPr="00060D01">
        <w:rPr>
          <w:lang w:val="en-GB"/>
        </w:rPr>
        <w:t>an option</w:t>
      </w:r>
      <w:r w:rsidR="005A5956" w:rsidRPr="00060D01">
        <w:rPr>
          <w:lang w:val="en-GB"/>
        </w:rPr>
        <w:t xml:space="preserve"> unless</w:t>
      </w:r>
      <w:r w:rsidRPr="00060D01">
        <w:rPr>
          <w:lang w:val="en-GB"/>
        </w:rPr>
        <w:t xml:space="preserve"> libraries have adequate resources in terms of staff and equipment.</w:t>
      </w:r>
      <w:r w:rsidR="00215955" w:rsidRPr="00060D01">
        <w:rPr>
          <w:lang w:val="en-GB"/>
        </w:rPr>
        <w:t xml:space="preserve"> </w:t>
      </w:r>
    </w:p>
    <w:p w14:paraId="3F311861" w14:textId="5A2C722A" w:rsidR="00CF4557" w:rsidRDefault="00C10D86" w:rsidP="005A5956">
      <w:pPr>
        <w:pStyle w:val="Text"/>
        <w:rPr>
          <w:lang w:val="en-GB"/>
        </w:rPr>
      </w:pPr>
      <w:r w:rsidRPr="00EC5C45">
        <w:rPr>
          <w:lang w:val="en-GB"/>
        </w:rPr>
        <w:t xml:space="preserve">An </w:t>
      </w:r>
      <w:r w:rsidR="00BB4694" w:rsidRPr="00EC5C45">
        <w:rPr>
          <w:lang w:val="en-GB"/>
        </w:rPr>
        <w:t>example</w:t>
      </w:r>
      <w:r w:rsidR="008B0187" w:rsidRPr="00EC5C45">
        <w:rPr>
          <w:lang w:val="en-GB"/>
        </w:rPr>
        <w:t xml:space="preserve"> of</w:t>
      </w:r>
      <w:r w:rsidRPr="00EC5C45">
        <w:rPr>
          <w:lang w:val="en-GB"/>
        </w:rPr>
        <w:t xml:space="preserve"> how libraries can contribute to peace and justice can be found in Colombia. There, preparations are being made to connect</w:t>
      </w:r>
      <w:r w:rsidR="00B14CAF" w:rsidRPr="00EC5C45">
        <w:rPr>
          <w:lang w:val="en-GB"/>
        </w:rPr>
        <w:t xml:space="preserve"> un</w:t>
      </w:r>
      <w:r w:rsidR="00CF4557" w:rsidRPr="00EC5C45">
        <w:rPr>
          <w:lang w:val="en-GB"/>
        </w:rPr>
        <w:t xml:space="preserve">connected regions in </w:t>
      </w:r>
      <w:r w:rsidRPr="00EC5C45">
        <w:rPr>
          <w:lang w:val="en-GB"/>
        </w:rPr>
        <w:t xml:space="preserve">the country </w:t>
      </w:r>
      <w:r w:rsidR="00CF4557" w:rsidRPr="00EC5C45">
        <w:rPr>
          <w:lang w:val="en-GB"/>
        </w:rPr>
        <w:t xml:space="preserve">as a complement to the peace process that </w:t>
      </w:r>
      <w:r w:rsidRPr="00EC5C45">
        <w:rPr>
          <w:lang w:val="en-GB"/>
        </w:rPr>
        <w:t>is underway</w:t>
      </w:r>
      <w:r w:rsidR="00CF4557" w:rsidRPr="00EC5C45">
        <w:rPr>
          <w:lang w:val="en-GB"/>
        </w:rPr>
        <w:t xml:space="preserve"> with the </w:t>
      </w:r>
      <w:r w:rsidR="00467F0B" w:rsidRPr="00EC5C45">
        <w:rPr>
          <w:lang w:val="en-GB"/>
        </w:rPr>
        <w:t>Revolutionary Armed Forces of Colombia (</w:t>
      </w:r>
      <w:r w:rsidR="00CF4557" w:rsidRPr="00EC5C45">
        <w:rPr>
          <w:lang w:val="en-GB"/>
        </w:rPr>
        <w:t>FARC</w:t>
      </w:r>
      <w:r w:rsidR="00467F0B" w:rsidRPr="00EC5C45">
        <w:rPr>
          <w:lang w:val="en-GB"/>
        </w:rPr>
        <w:t>)</w:t>
      </w:r>
      <w:r w:rsidR="00CF4557" w:rsidRPr="00EC5C45">
        <w:rPr>
          <w:lang w:val="en-GB"/>
        </w:rPr>
        <w:t>. The communities that historically ha</w:t>
      </w:r>
      <w:r w:rsidRPr="00EC5C45">
        <w:rPr>
          <w:lang w:val="en-GB"/>
        </w:rPr>
        <w:t>ve</w:t>
      </w:r>
      <w:r w:rsidR="00CF4557" w:rsidRPr="00EC5C45">
        <w:rPr>
          <w:lang w:val="en-GB"/>
        </w:rPr>
        <w:t xml:space="preserve"> </w:t>
      </w:r>
      <w:r w:rsidR="008B0187" w:rsidRPr="00EC5C45">
        <w:rPr>
          <w:lang w:val="en-GB"/>
        </w:rPr>
        <w:t>s</w:t>
      </w:r>
      <w:r w:rsidR="00CF4557" w:rsidRPr="00EC5C45">
        <w:rPr>
          <w:lang w:val="en-GB"/>
        </w:rPr>
        <w:t xml:space="preserve">een </w:t>
      </w:r>
      <w:r w:rsidRPr="00EC5C45">
        <w:rPr>
          <w:lang w:val="en-GB"/>
        </w:rPr>
        <w:t xml:space="preserve">the </w:t>
      </w:r>
      <w:r w:rsidR="00CF4557" w:rsidRPr="00EC5C45">
        <w:rPr>
          <w:lang w:val="en-GB"/>
        </w:rPr>
        <w:t>most violen</w:t>
      </w:r>
      <w:r w:rsidR="008B0187" w:rsidRPr="00EC5C45">
        <w:rPr>
          <w:lang w:val="en-GB"/>
        </w:rPr>
        <w:t>ce</w:t>
      </w:r>
      <w:r w:rsidR="00CF4557" w:rsidRPr="00EC5C45">
        <w:rPr>
          <w:lang w:val="en-GB"/>
        </w:rPr>
        <w:t xml:space="preserve">, and where many of the current issues of the conflict originated, do not have access to </w:t>
      </w:r>
      <w:r w:rsidR="00544FA6">
        <w:rPr>
          <w:lang w:val="en-GB"/>
        </w:rPr>
        <w:t xml:space="preserve">the </w:t>
      </w:r>
      <w:r w:rsidR="0069201A" w:rsidRPr="00EC5C45">
        <w:rPr>
          <w:lang w:val="en-GB"/>
        </w:rPr>
        <w:t>Internet</w:t>
      </w:r>
      <w:r w:rsidR="00CF4557" w:rsidRPr="00EC5C45">
        <w:rPr>
          <w:lang w:val="en-GB"/>
        </w:rPr>
        <w:t xml:space="preserve"> </w:t>
      </w:r>
      <w:r w:rsidR="008B0187" w:rsidRPr="00EC5C45">
        <w:rPr>
          <w:lang w:val="en-GB"/>
        </w:rPr>
        <w:t>or</w:t>
      </w:r>
      <w:r w:rsidR="00B14CAF" w:rsidRPr="00EC5C45">
        <w:rPr>
          <w:lang w:val="en-GB"/>
        </w:rPr>
        <w:t>,</w:t>
      </w:r>
      <w:r w:rsidR="00CF4557" w:rsidRPr="00EC5C45">
        <w:rPr>
          <w:lang w:val="en-GB"/>
        </w:rPr>
        <w:t xml:space="preserve"> in many </w:t>
      </w:r>
      <w:r w:rsidR="00CF4557" w:rsidRPr="00EC5C45">
        <w:rPr>
          <w:lang w:val="en-GB"/>
        </w:rPr>
        <w:lastRenderedPageBreak/>
        <w:t xml:space="preserve">cases, to voice and data networks. They are totally isolated. They </w:t>
      </w:r>
      <w:r w:rsidR="00544FA6">
        <w:rPr>
          <w:lang w:val="en-GB"/>
        </w:rPr>
        <w:t xml:space="preserve">do </w:t>
      </w:r>
      <w:r w:rsidR="00CF4557" w:rsidRPr="00EC5C45">
        <w:rPr>
          <w:lang w:val="en-GB"/>
        </w:rPr>
        <w:t>have libraries but the</w:t>
      </w:r>
      <w:r w:rsidR="008B0187" w:rsidRPr="00EC5C45">
        <w:rPr>
          <w:lang w:val="en-GB"/>
        </w:rPr>
        <w:t>se</w:t>
      </w:r>
      <w:r w:rsidR="00CF4557" w:rsidRPr="00EC5C45">
        <w:rPr>
          <w:lang w:val="en-GB"/>
        </w:rPr>
        <w:t xml:space="preserve"> are </w:t>
      </w:r>
      <w:r w:rsidRPr="00EC5C45">
        <w:rPr>
          <w:lang w:val="en-GB"/>
        </w:rPr>
        <w:t>widely dispersed</w:t>
      </w:r>
      <w:r w:rsidR="00CF4557" w:rsidRPr="00EC5C45">
        <w:rPr>
          <w:lang w:val="en-GB"/>
        </w:rPr>
        <w:t>. The social organisation MAKAIA (</w:t>
      </w:r>
      <w:r w:rsidR="00E51112" w:rsidRPr="00EC5C45">
        <w:rPr>
          <w:lang w:val="en-GB"/>
        </w:rPr>
        <w:t xml:space="preserve">a </w:t>
      </w:r>
      <w:r w:rsidR="00CF4557" w:rsidRPr="00EC5C45">
        <w:rPr>
          <w:lang w:val="en-GB"/>
        </w:rPr>
        <w:t xml:space="preserve">member of the Beyond Access network) </w:t>
      </w:r>
      <w:r w:rsidRPr="00EC5C45">
        <w:rPr>
          <w:lang w:val="en-GB"/>
        </w:rPr>
        <w:t xml:space="preserve">is </w:t>
      </w:r>
      <w:r w:rsidR="00CF4557" w:rsidRPr="00EC5C45">
        <w:rPr>
          <w:lang w:val="en-GB"/>
        </w:rPr>
        <w:t>exploring using TV White Space</w:t>
      </w:r>
      <w:r w:rsidRPr="00EC5C45">
        <w:rPr>
          <w:lang w:val="en-GB"/>
        </w:rPr>
        <w:t xml:space="preserve"> (TVWS)</w:t>
      </w:r>
      <w:r w:rsidR="00E51112" w:rsidRPr="00EC5C45">
        <w:rPr>
          <w:lang w:val="en-GB"/>
        </w:rPr>
        <w:t xml:space="preserve"> to bring </w:t>
      </w:r>
      <w:r w:rsidR="0069201A" w:rsidRPr="00EC5C45">
        <w:rPr>
          <w:lang w:val="en-GB"/>
        </w:rPr>
        <w:t>Internet</w:t>
      </w:r>
      <w:r w:rsidR="00CF4557" w:rsidRPr="00EC5C45">
        <w:rPr>
          <w:lang w:val="en-GB"/>
        </w:rPr>
        <w:t xml:space="preserve"> to these communities.</w:t>
      </w:r>
      <w:r w:rsidR="006053EC">
        <w:rPr>
          <w:rStyle w:val="FootnoteReference"/>
          <w:lang w:val="en-GB"/>
        </w:rPr>
        <w:footnoteReference w:id="29"/>
      </w:r>
      <w:r w:rsidR="00CF4557" w:rsidRPr="00EC5C45">
        <w:rPr>
          <w:lang w:val="en-GB"/>
        </w:rPr>
        <w:t xml:space="preserve"> The idea is to use an unused part of the TV spectrum </w:t>
      </w:r>
      <w:r w:rsidR="00060D01">
        <w:rPr>
          <w:lang w:val="en-GB"/>
        </w:rPr>
        <w:t xml:space="preserve">to </w:t>
      </w:r>
      <w:r w:rsidR="00060D01" w:rsidRPr="00060D01">
        <w:rPr>
          <w:lang w:val="en-GB"/>
        </w:rPr>
        <w:t xml:space="preserve">increase availability and convenience of library Wi-Fi access at new fixed </w:t>
      </w:r>
      <w:r w:rsidR="00060D01">
        <w:rPr>
          <w:lang w:val="en-GB"/>
        </w:rPr>
        <w:t>or portable community hotspots.</w:t>
      </w:r>
      <w:r w:rsidR="006053EC">
        <w:rPr>
          <w:rStyle w:val="FootnoteReference"/>
          <w:lang w:val="en-GB"/>
        </w:rPr>
        <w:footnoteReference w:id="30"/>
      </w:r>
      <w:r w:rsidR="00060D01">
        <w:rPr>
          <w:lang w:val="en-GB"/>
        </w:rPr>
        <w:t xml:space="preserve"> </w:t>
      </w:r>
      <w:r w:rsidR="00CF4557" w:rsidRPr="00EC5C45">
        <w:rPr>
          <w:lang w:val="en-GB"/>
        </w:rPr>
        <w:t xml:space="preserve">The technology has already been tested in Colombia and is in the process of being </w:t>
      </w:r>
      <w:r w:rsidR="008B0187" w:rsidRPr="00EC5C45">
        <w:rPr>
          <w:lang w:val="en-GB"/>
        </w:rPr>
        <w:t>provided for in regulation</w:t>
      </w:r>
      <w:r w:rsidR="00CF4557" w:rsidRPr="00EC5C45">
        <w:rPr>
          <w:lang w:val="en-GB"/>
        </w:rPr>
        <w:t>.</w:t>
      </w:r>
      <w:r w:rsidRPr="00EC5C45">
        <w:rPr>
          <w:lang w:val="en-GB"/>
        </w:rPr>
        <w:t xml:space="preserve"> If successful, the project could be replicated in many other rural and remote parts of the world.</w:t>
      </w:r>
    </w:p>
    <w:p w14:paraId="6B6FC324" w14:textId="4DB05BC7" w:rsidR="00FB461E" w:rsidRPr="00060D01" w:rsidRDefault="00C10D86" w:rsidP="00B14CAF">
      <w:pPr>
        <w:pStyle w:val="Text"/>
        <w:rPr>
          <w:lang w:val="en-GB"/>
        </w:rPr>
      </w:pPr>
      <w:r w:rsidRPr="00060D01">
        <w:rPr>
          <w:lang w:val="en-GB"/>
        </w:rPr>
        <w:t>Yet even if it is successful,</w:t>
      </w:r>
      <w:r w:rsidR="00CF4557" w:rsidRPr="00060D01">
        <w:rPr>
          <w:lang w:val="en-GB"/>
        </w:rPr>
        <w:t xml:space="preserve"> connectivity without ICT adoption could be counterproductive.</w:t>
      </w:r>
      <w:r w:rsidRPr="00060D01">
        <w:rPr>
          <w:lang w:val="en-GB"/>
        </w:rPr>
        <w:t xml:space="preserve"> As stated above, meaningful access </w:t>
      </w:r>
      <w:r w:rsidR="00B07553" w:rsidRPr="00060D01">
        <w:rPr>
          <w:lang w:val="en-GB"/>
        </w:rPr>
        <w:t>means developing people’s</w:t>
      </w:r>
      <w:r w:rsidRPr="00060D01">
        <w:rPr>
          <w:lang w:val="en-GB"/>
        </w:rPr>
        <w:t xml:space="preserve"> </w:t>
      </w:r>
      <w:r w:rsidR="00B07553" w:rsidRPr="00060D01">
        <w:rPr>
          <w:lang w:val="en-GB"/>
        </w:rPr>
        <w:t>capability to consume and understand various common media types from a wide array of sources, but also providing them with the tools and skills</w:t>
      </w:r>
      <w:r w:rsidR="008B0187" w:rsidRPr="00060D01">
        <w:rPr>
          <w:lang w:val="en-GB"/>
        </w:rPr>
        <w:t xml:space="preserve"> necessary</w:t>
      </w:r>
      <w:r w:rsidR="00B07553" w:rsidRPr="00060D01">
        <w:rPr>
          <w:lang w:val="en-GB"/>
        </w:rPr>
        <w:t xml:space="preserve"> to produce </w:t>
      </w:r>
      <w:r w:rsidR="008B0187" w:rsidRPr="00060D01">
        <w:rPr>
          <w:lang w:val="en-GB"/>
        </w:rPr>
        <w:t xml:space="preserve">and share </w:t>
      </w:r>
      <w:r w:rsidR="00B07553" w:rsidRPr="00060D01">
        <w:rPr>
          <w:lang w:val="en-GB"/>
        </w:rPr>
        <w:t xml:space="preserve">content. </w:t>
      </w:r>
      <w:r w:rsidR="00CF4557" w:rsidRPr="00060D01">
        <w:rPr>
          <w:lang w:val="en-GB"/>
        </w:rPr>
        <w:t xml:space="preserve"> Librarians are key </w:t>
      </w:r>
      <w:r w:rsidR="008B0187" w:rsidRPr="00060D01">
        <w:rPr>
          <w:lang w:val="en-GB"/>
        </w:rPr>
        <w:t>to</w:t>
      </w:r>
      <w:r w:rsidR="00CF4557" w:rsidRPr="00060D01">
        <w:rPr>
          <w:lang w:val="en-GB"/>
        </w:rPr>
        <w:t xml:space="preserve"> this process, and </w:t>
      </w:r>
      <w:r w:rsidR="00B07553" w:rsidRPr="00060D01">
        <w:rPr>
          <w:lang w:val="en-GB"/>
        </w:rPr>
        <w:t xml:space="preserve">must be </w:t>
      </w:r>
      <w:r w:rsidR="008B0187" w:rsidRPr="00060D01">
        <w:rPr>
          <w:lang w:val="en-GB"/>
        </w:rPr>
        <w:t>mobilised</w:t>
      </w:r>
      <w:r w:rsidR="00B07553" w:rsidRPr="00060D01">
        <w:rPr>
          <w:lang w:val="en-GB"/>
        </w:rPr>
        <w:t xml:space="preserve"> as partners to connect and enable the next billion. </w:t>
      </w:r>
    </w:p>
    <w:p w14:paraId="399E3D7B" w14:textId="77777777" w:rsidR="003B3C73" w:rsidRPr="00EC5C45" w:rsidRDefault="003B3C73" w:rsidP="00971855">
      <w:pPr>
        <w:pStyle w:val="Heading3"/>
        <w:rPr>
          <w:lang w:val="en-GB"/>
        </w:rPr>
      </w:pPr>
      <w:r w:rsidRPr="00EC5C45">
        <w:rPr>
          <w:lang w:val="en-GB"/>
        </w:rPr>
        <w:t>Resources</w:t>
      </w:r>
    </w:p>
    <w:p w14:paraId="4DD9D27C" w14:textId="138D369A" w:rsidR="009E46B6" w:rsidRPr="00EC5C45" w:rsidRDefault="00F54634" w:rsidP="009E46B6">
      <w:pPr>
        <w:pStyle w:val="Text"/>
        <w:numPr>
          <w:ilvl w:val="0"/>
          <w:numId w:val="2"/>
        </w:numPr>
        <w:rPr>
          <w:color w:val="auto"/>
          <w:lang w:val="en-GB"/>
        </w:rPr>
      </w:pPr>
      <w:hyperlink r:id="rId8" w:history="1">
        <w:r w:rsidR="009E46B6" w:rsidRPr="00EC5C45">
          <w:rPr>
            <w:rStyle w:val="FollowedHyperlink"/>
            <w:lang w:val="en-GB"/>
          </w:rPr>
          <w:t>Connecting people for development: Why public access ICTs matter</w:t>
        </w:r>
      </w:hyperlink>
      <w:r w:rsidR="009E46B6" w:rsidRPr="00EC5C45">
        <w:rPr>
          <w:color w:val="auto"/>
          <w:lang w:val="en-GB"/>
        </w:rPr>
        <w:t xml:space="preserve"> </w:t>
      </w:r>
      <w:r w:rsidR="00162358" w:rsidRPr="00EC5C45">
        <w:rPr>
          <w:color w:val="auto"/>
          <w:lang w:val="en-GB"/>
        </w:rPr>
        <w:t>–</w:t>
      </w:r>
      <w:r w:rsidR="009E46B6" w:rsidRPr="00EC5C45">
        <w:rPr>
          <w:color w:val="auto"/>
          <w:lang w:val="en-GB"/>
        </w:rPr>
        <w:t xml:space="preserve"> </w:t>
      </w:r>
      <w:r w:rsidR="00162358" w:rsidRPr="00EC5C45">
        <w:rPr>
          <w:color w:val="auto"/>
          <w:lang w:val="en-GB"/>
        </w:rPr>
        <w:t>research report</w:t>
      </w:r>
      <w:r w:rsidR="009E46B6" w:rsidRPr="00EC5C45">
        <w:rPr>
          <w:color w:val="auto"/>
          <w:lang w:val="en-GB"/>
        </w:rPr>
        <w:t xml:space="preserve"> </w:t>
      </w:r>
      <w:r w:rsidR="00162358" w:rsidRPr="00EC5C45">
        <w:rPr>
          <w:color w:val="auto"/>
          <w:lang w:val="en-GB"/>
        </w:rPr>
        <w:t xml:space="preserve">on </w:t>
      </w:r>
      <w:hyperlink r:id="rId9" w:history="1">
        <w:r w:rsidR="00162358" w:rsidRPr="00EC5C45">
          <w:rPr>
            <w:rStyle w:val="Hyperlink"/>
            <w:lang w:val="en-GB"/>
          </w:rPr>
          <w:t>The Global Impact Study</w:t>
        </w:r>
      </w:hyperlink>
      <w:r w:rsidR="00162358" w:rsidRPr="00EC5C45">
        <w:rPr>
          <w:color w:val="auto"/>
          <w:lang w:val="en-GB"/>
        </w:rPr>
        <w:t xml:space="preserve"> by TASCHA</w:t>
      </w:r>
    </w:p>
    <w:p w14:paraId="06A965D6" w14:textId="4ECDFCB5" w:rsidR="003B3C73" w:rsidRPr="00EC5C45" w:rsidRDefault="00F54634" w:rsidP="00C236EF">
      <w:pPr>
        <w:pStyle w:val="Text"/>
        <w:numPr>
          <w:ilvl w:val="0"/>
          <w:numId w:val="2"/>
        </w:numPr>
        <w:rPr>
          <w:color w:val="auto"/>
          <w:lang w:val="en-GB"/>
        </w:rPr>
      </w:pPr>
      <w:hyperlink r:id="rId10" w:history="1">
        <w:r w:rsidR="003B3C73" w:rsidRPr="00060D01">
          <w:rPr>
            <w:rStyle w:val="FollowedHyperlink"/>
            <w:lang w:val="en-GB"/>
          </w:rPr>
          <w:t>How Libraries Can Connect the Next Four Billion</w:t>
        </w:r>
      </w:hyperlink>
      <w:r w:rsidR="003B3C73" w:rsidRPr="00EC5C45">
        <w:rPr>
          <w:color w:val="auto"/>
          <w:lang w:val="en-GB"/>
        </w:rPr>
        <w:t xml:space="preserve"> – factsheet published b</w:t>
      </w:r>
      <w:r w:rsidR="00162358" w:rsidRPr="00EC5C45">
        <w:rPr>
          <w:color w:val="auto"/>
          <w:lang w:val="en-GB"/>
        </w:rPr>
        <w:t>y IFLA, IREX, and Beyond Access</w:t>
      </w:r>
    </w:p>
    <w:p w14:paraId="38C3207F" w14:textId="48D8D6F4" w:rsidR="00F65C2F" w:rsidRPr="00EC5C45" w:rsidRDefault="00F54634" w:rsidP="00F65C2F">
      <w:pPr>
        <w:pStyle w:val="Text"/>
        <w:numPr>
          <w:ilvl w:val="0"/>
          <w:numId w:val="2"/>
        </w:numPr>
        <w:rPr>
          <w:rStyle w:val="FollowedHyperlink"/>
          <w:color w:val="auto"/>
          <w:u w:val="none"/>
          <w:lang w:val="en-GB"/>
        </w:rPr>
      </w:pPr>
      <w:hyperlink r:id="rId11" w:history="1">
        <w:r w:rsidR="00F65C2F" w:rsidRPr="00060D01">
          <w:rPr>
            <w:rStyle w:val="FollowedHyperlink"/>
            <w:lang w:val="en-GB"/>
          </w:rPr>
          <w:t>Principles on Public Access in Libraries</w:t>
        </w:r>
      </w:hyperlink>
      <w:r w:rsidR="00F65C2F" w:rsidRPr="00060D01">
        <w:rPr>
          <w:rStyle w:val="FollowedHyperlink"/>
          <w:lang w:val="en-GB"/>
        </w:rPr>
        <w:t xml:space="preserve"> </w:t>
      </w:r>
      <w:r w:rsidR="00F65C2F" w:rsidRPr="00EC5C45">
        <w:rPr>
          <w:color w:val="auto"/>
          <w:lang w:val="en-GB"/>
        </w:rPr>
        <w:t>– principles produced by DC-PAL (Dynamic Coalition on Public Access in Libraries)</w:t>
      </w:r>
    </w:p>
    <w:p w14:paraId="2BB48787" w14:textId="4B48892B" w:rsidR="003B3C73" w:rsidRPr="00EC5C45" w:rsidRDefault="00F54634" w:rsidP="00C236EF">
      <w:pPr>
        <w:pStyle w:val="Text"/>
        <w:numPr>
          <w:ilvl w:val="0"/>
          <w:numId w:val="2"/>
        </w:numPr>
        <w:rPr>
          <w:color w:val="auto"/>
          <w:lang w:val="en-GB"/>
        </w:rPr>
      </w:pPr>
      <w:hyperlink r:id="rId12" w:history="1">
        <w:r w:rsidR="003B3C73" w:rsidRPr="00060D01">
          <w:rPr>
            <w:rStyle w:val="FollowedHyperlink"/>
            <w:lang w:val="en-GB"/>
          </w:rPr>
          <w:t>Public Access: Supporting Digital Inclusion for All</w:t>
        </w:r>
      </w:hyperlink>
      <w:r w:rsidR="003B3C73" w:rsidRPr="00EC5C45">
        <w:rPr>
          <w:rStyle w:val="Strong"/>
          <w:b w:val="0"/>
          <w:color w:val="auto"/>
          <w:lang w:val="en-GB"/>
        </w:rPr>
        <w:t xml:space="preserve"> – briefing </w:t>
      </w:r>
      <w:r w:rsidR="003B3C73" w:rsidRPr="00EC5C45">
        <w:rPr>
          <w:color w:val="auto"/>
          <w:lang w:val="en-GB"/>
        </w:rPr>
        <w:t>written by IFLA together with APC (Association for Prog</w:t>
      </w:r>
      <w:r w:rsidR="00D71A0F" w:rsidRPr="00EC5C45">
        <w:rPr>
          <w:color w:val="auto"/>
          <w:lang w:val="en-GB"/>
        </w:rPr>
        <w:t>r</w:t>
      </w:r>
      <w:r w:rsidR="003B3C73" w:rsidRPr="00EC5C45">
        <w:rPr>
          <w:color w:val="auto"/>
          <w:lang w:val="en-GB"/>
        </w:rPr>
        <w:t xml:space="preserve">essive Communications) and TASCHA (Technology &amp; Social Change Group, </w:t>
      </w:r>
      <w:r w:rsidR="00162358" w:rsidRPr="00EC5C45">
        <w:rPr>
          <w:color w:val="auto"/>
          <w:lang w:val="en-GB"/>
        </w:rPr>
        <w:t>University of Washington)</w:t>
      </w:r>
    </w:p>
    <w:p w14:paraId="2F1E4396" w14:textId="70C2D8F3" w:rsidR="0024682E" w:rsidRPr="00EC5C45" w:rsidRDefault="00F54634" w:rsidP="00941D3F">
      <w:pPr>
        <w:pStyle w:val="Text"/>
        <w:numPr>
          <w:ilvl w:val="0"/>
          <w:numId w:val="2"/>
        </w:numPr>
        <w:rPr>
          <w:color w:val="auto"/>
          <w:lang w:val="en-GB"/>
        </w:rPr>
      </w:pPr>
      <w:hyperlink r:id="rId13" w:history="1">
        <w:r w:rsidR="003B3C73" w:rsidRPr="00060D01">
          <w:rPr>
            <w:rStyle w:val="FollowedHyperlink"/>
            <w:lang w:val="en-GB"/>
          </w:rPr>
          <w:t>Statement on the Ten-year Review of Progress Made in the Implementation of the Outcomes of the World Summit on the Information Society</w:t>
        </w:r>
      </w:hyperlink>
      <w:r w:rsidR="00162358" w:rsidRPr="00EC5C45">
        <w:rPr>
          <w:color w:val="auto"/>
          <w:lang w:val="en-GB"/>
        </w:rPr>
        <w:t xml:space="preserve"> – statement by IFLA and others </w:t>
      </w:r>
    </w:p>
    <w:sectPr w:rsidR="0024682E" w:rsidRPr="00EC5C45" w:rsidSect="009E277F">
      <w:footerReference w:type="default" r:id="rId14"/>
      <w:headerReference w:type="first" r:id="rId15"/>
      <w:footerReference w:type="first" r:id="rId16"/>
      <w:pgSz w:w="12240" w:h="15840"/>
      <w:pgMar w:top="720" w:right="851" w:bottom="720" w:left="851" w:header="720" w:footer="86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D2E2D" w14:textId="77777777" w:rsidR="00FF5669" w:rsidRDefault="00FF5669">
      <w:r>
        <w:separator/>
      </w:r>
    </w:p>
  </w:endnote>
  <w:endnote w:type="continuationSeparator" w:id="0">
    <w:p w14:paraId="7B734A9F" w14:textId="77777777" w:rsidR="00FF5669" w:rsidRDefault="00FF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2"/>
      </w:rPr>
      <w:id w:val="-1664610170"/>
      <w:docPartObj>
        <w:docPartGallery w:val="Page Numbers (Bottom of Page)"/>
        <w:docPartUnique/>
      </w:docPartObj>
    </w:sdtPr>
    <w:sdtEndPr>
      <w:rPr>
        <w:noProof/>
      </w:rPr>
    </w:sdtEndPr>
    <w:sdtContent>
      <w:p w14:paraId="416AF417" w14:textId="1E8F3C5B" w:rsidR="001B6951" w:rsidRPr="00D14A7A" w:rsidRDefault="009E277F" w:rsidP="00D14A7A">
        <w:pPr>
          <w:pStyle w:val="Footer"/>
          <w:jc w:val="center"/>
          <w:rPr>
            <w:rFonts w:ascii="Calibri" w:hAnsi="Calibri"/>
            <w:sz w:val="22"/>
          </w:rPr>
        </w:pPr>
        <w:r w:rsidRPr="009E277F">
          <w:rPr>
            <w:rFonts w:ascii="Calibri" w:hAnsi="Calibri"/>
            <w:sz w:val="22"/>
          </w:rPr>
          <w:fldChar w:fldCharType="begin"/>
        </w:r>
        <w:r w:rsidRPr="009E277F">
          <w:rPr>
            <w:rFonts w:ascii="Calibri" w:hAnsi="Calibri"/>
            <w:sz w:val="22"/>
          </w:rPr>
          <w:instrText xml:space="preserve"> PAGE   \* MERGEFORMAT </w:instrText>
        </w:r>
        <w:r w:rsidRPr="009E277F">
          <w:rPr>
            <w:rFonts w:ascii="Calibri" w:hAnsi="Calibri"/>
            <w:sz w:val="22"/>
          </w:rPr>
          <w:fldChar w:fldCharType="separate"/>
        </w:r>
        <w:r w:rsidR="00F54634">
          <w:rPr>
            <w:rFonts w:ascii="Calibri" w:hAnsi="Calibri"/>
            <w:noProof/>
            <w:sz w:val="22"/>
          </w:rPr>
          <w:t>6</w:t>
        </w:r>
        <w:r w:rsidRPr="009E277F">
          <w:rPr>
            <w:rFonts w:ascii="Calibri" w:hAnsi="Calibri"/>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2"/>
      </w:rPr>
      <w:id w:val="529927401"/>
      <w:docPartObj>
        <w:docPartGallery w:val="Page Numbers (Bottom of Page)"/>
        <w:docPartUnique/>
      </w:docPartObj>
    </w:sdtPr>
    <w:sdtEndPr>
      <w:rPr>
        <w:noProof/>
      </w:rPr>
    </w:sdtEndPr>
    <w:sdtContent>
      <w:p w14:paraId="7FCE5AC7" w14:textId="14EC2D04" w:rsidR="009E277F" w:rsidRPr="009E277F" w:rsidRDefault="009E277F">
        <w:pPr>
          <w:pStyle w:val="Footer"/>
          <w:jc w:val="center"/>
          <w:rPr>
            <w:rFonts w:ascii="Calibri" w:hAnsi="Calibri"/>
            <w:sz w:val="22"/>
          </w:rPr>
        </w:pPr>
        <w:r w:rsidRPr="009E277F">
          <w:rPr>
            <w:rFonts w:ascii="Calibri" w:hAnsi="Calibri"/>
            <w:sz w:val="22"/>
          </w:rPr>
          <w:fldChar w:fldCharType="begin"/>
        </w:r>
        <w:r w:rsidRPr="009E277F">
          <w:rPr>
            <w:rFonts w:ascii="Calibri" w:hAnsi="Calibri"/>
            <w:sz w:val="22"/>
          </w:rPr>
          <w:instrText xml:space="preserve"> PAGE   \* MERGEFORMAT </w:instrText>
        </w:r>
        <w:r w:rsidRPr="009E277F">
          <w:rPr>
            <w:rFonts w:ascii="Calibri" w:hAnsi="Calibri"/>
            <w:sz w:val="22"/>
          </w:rPr>
          <w:fldChar w:fldCharType="separate"/>
        </w:r>
        <w:r w:rsidR="00F54634">
          <w:rPr>
            <w:rFonts w:ascii="Calibri" w:hAnsi="Calibri"/>
            <w:noProof/>
            <w:sz w:val="22"/>
          </w:rPr>
          <w:t>1</w:t>
        </w:r>
        <w:r w:rsidRPr="009E277F">
          <w:rPr>
            <w:rFonts w:ascii="Calibri" w:hAnsi="Calibri"/>
            <w:noProof/>
            <w:sz w:val="22"/>
          </w:rPr>
          <w:fldChar w:fldCharType="end"/>
        </w:r>
      </w:p>
    </w:sdtContent>
  </w:sdt>
  <w:p w14:paraId="7CD3CC90" w14:textId="08F5699F" w:rsidR="009E277F" w:rsidRDefault="009E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CCCF3" w14:textId="77777777" w:rsidR="00FF5669" w:rsidRDefault="00FF5669">
      <w:r>
        <w:separator/>
      </w:r>
    </w:p>
  </w:footnote>
  <w:footnote w:type="continuationSeparator" w:id="0">
    <w:p w14:paraId="353DC3B6" w14:textId="77777777" w:rsidR="00FF5669" w:rsidRDefault="00FF5669">
      <w:r>
        <w:continuationSeparator/>
      </w:r>
    </w:p>
  </w:footnote>
  <w:footnote w:id="1">
    <w:p w14:paraId="05DE8238" w14:textId="77777777" w:rsidR="00B737DA" w:rsidRPr="00A9160C" w:rsidRDefault="00B737DA" w:rsidP="00B737DA">
      <w:pPr>
        <w:pStyle w:val="Footnote"/>
        <w:rPr>
          <w:color w:val="501863" w:themeColor="accent6" w:themeShade="BF"/>
          <w:lang w:val="en-GB"/>
        </w:rPr>
      </w:pPr>
      <w:r>
        <w:rPr>
          <w:rStyle w:val="FootnoteReference"/>
        </w:rPr>
        <w:footnoteRef/>
      </w:r>
      <w:r>
        <w:t xml:space="preserve"> EIFL (2011). Perceptions of Public Libraries in Africa: Full Report. EIFL / TNS RMS East Africa. Available at: </w:t>
      </w:r>
      <w:r w:rsidRPr="004E0DC6">
        <w:rPr>
          <w:color w:val="0070C0"/>
          <w:u w:val="single"/>
        </w:rPr>
        <w:t>http://www.eifl.net/perception-study</w:t>
      </w:r>
    </w:p>
  </w:footnote>
  <w:footnote w:id="2">
    <w:p w14:paraId="79FE024B" w14:textId="1F18319D" w:rsidR="003C60A6" w:rsidRPr="003C60A6" w:rsidRDefault="003C60A6" w:rsidP="003C60A6">
      <w:pPr>
        <w:pStyle w:val="Footnote"/>
        <w:rPr>
          <w:lang w:val="en-GB"/>
        </w:rPr>
      </w:pPr>
      <w:r>
        <w:rPr>
          <w:rStyle w:val="FootnoteReference"/>
        </w:rPr>
        <w:footnoteRef/>
      </w:r>
      <w:r>
        <w:t xml:space="preserve"> </w:t>
      </w:r>
      <w:r>
        <w:rPr>
          <w:lang w:val="en-GB"/>
        </w:rPr>
        <w:t xml:space="preserve">Maitland, D. et al (1985) </w:t>
      </w:r>
      <w:r>
        <w:rPr>
          <w:i/>
          <w:lang w:val="en-GB"/>
        </w:rPr>
        <w:t>The Missing Link</w:t>
      </w:r>
      <w:r>
        <w:rPr>
          <w:lang w:val="en-GB"/>
        </w:rPr>
        <w:t xml:space="preserve"> Available at: </w:t>
      </w:r>
      <w:hyperlink r:id="rId1" w:history="1">
        <w:r w:rsidRPr="00DA0FF6">
          <w:rPr>
            <w:rStyle w:val="Hyperlink"/>
            <w:lang w:val="en-GB"/>
          </w:rPr>
          <w:t>http://www.itu.int/dms_pub/itu-s/oth/02/0B/S020B0000014E02PDFE.PDF</w:t>
        </w:r>
      </w:hyperlink>
      <w:r>
        <w:rPr>
          <w:lang w:val="en-GB"/>
        </w:rPr>
        <w:t xml:space="preserve"> </w:t>
      </w:r>
    </w:p>
  </w:footnote>
  <w:footnote w:id="3">
    <w:p w14:paraId="554687D4" w14:textId="6C360B46" w:rsidR="00B4128E" w:rsidRPr="00B4128E" w:rsidRDefault="00B4128E" w:rsidP="00B4128E">
      <w:pPr>
        <w:pStyle w:val="Footnote"/>
        <w:rPr>
          <w:lang w:val="en-GB"/>
        </w:rPr>
      </w:pPr>
      <w:r>
        <w:rPr>
          <w:rStyle w:val="FootnoteReference"/>
        </w:rPr>
        <w:footnoteRef/>
      </w:r>
      <w:r>
        <w:t xml:space="preserve"> Souter, David (2016) “Inside the Information Society”, </w:t>
      </w:r>
      <w:hyperlink r:id="rId2" w:history="1">
        <w:r w:rsidRPr="00DA0FF6">
          <w:rPr>
            <w:rStyle w:val="Hyperlink"/>
          </w:rPr>
          <w:t>http://www.apc.org/en/blog/inside-information-society-how-digital-divide-has</w:t>
        </w:r>
      </w:hyperlink>
      <w:r>
        <w:t>.</w:t>
      </w:r>
    </w:p>
  </w:footnote>
  <w:footnote w:id="4">
    <w:p w14:paraId="63A3CFD3" w14:textId="19A3C42D" w:rsidR="00A84850" w:rsidRPr="00A84850" w:rsidRDefault="00A84850" w:rsidP="00931798">
      <w:pPr>
        <w:pStyle w:val="Footnote"/>
      </w:pPr>
      <w:r>
        <w:rPr>
          <w:rStyle w:val="FootnoteReference"/>
        </w:rPr>
        <w:footnoteRef/>
      </w:r>
      <w:r>
        <w:t xml:space="preserve"> </w:t>
      </w:r>
      <w:r w:rsidRPr="00A84850">
        <w:rPr>
          <w:i/>
        </w:rPr>
        <w:t>Global Libraries Atlas</w:t>
      </w:r>
      <w:r>
        <w:t xml:space="preserve"> (2015). A</w:t>
      </w:r>
      <w:r w:rsidRPr="00A84850">
        <w:t xml:space="preserve">vailable at: </w:t>
      </w:r>
      <w:hyperlink r:id="rId3" w:history="1">
        <w:r w:rsidR="00956F42" w:rsidRPr="0028354C">
          <w:rPr>
            <w:rStyle w:val="Hyperlink"/>
          </w:rPr>
          <w:t>https://www.glatlas.org</w:t>
        </w:r>
      </w:hyperlink>
      <w:r w:rsidRPr="00A84850">
        <w:t>.</w:t>
      </w:r>
    </w:p>
  </w:footnote>
  <w:footnote w:id="5">
    <w:p w14:paraId="3669A2E6" w14:textId="72A8F42E" w:rsidR="00EE5993" w:rsidRPr="00EE5993" w:rsidRDefault="00EE5993" w:rsidP="00D17664">
      <w:pPr>
        <w:pStyle w:val="Footnote"/>
        <w:ind w:left="142" w:hanging="142"/>
        <w:rPr>
          <w:lang w:val="en-GB"/>
        </w:rPr>
      </w:pPr>
      <w:r>
        <w:rPr>
          <w:rStyle w:val="FootnoteReference"/>
        </w:rPr>
        <w:footnoteRef/>
      </w:r>
      <w:r>
        <w:t xml:space="preserve"> </w:t>
      </w:r>
      <w:r>
        <w:rPr>
          <w:rFonts w:eastAsia="Calibri" w:cs="Calibri"/>
          <w:highlight w:val="white"/>
        </w:rPr>
        <w:t xml:space="preserve">IFLA (2014). Contribution to the CSTD ten-year review of the implementation of WSIS outcomes. Available at: </w:t>
      </w:r>
      <w:hyperlink r:id="rId4">
        <w:r w:rsidRPr="00956F42">
          <w:rPr>
            <w:rStyle w:val="FootnoteChar"/>
            <w:color w:val="0070C0"/>
            <w:highlight w:val="white"/>
            <w:u w:val="single"/>
          </w:rPr>
          <w:t>http://unctad.org/Sections/un_cstd/docs/cstd_wsis10_ifla_en.pdf</w:t>
        </w:r>
      </w:hyperlink>
    </w:p>
  </w:footnote>
  <w:footnote w:id="6">
    <w:p w14:paraId="1E68B9A8" w14:textId="77777777" w:rsidR="00563068" w:rsidRPr="00455FF7" w:rsidRDefault="00563068" w:rsidP="00D17664">
      <w:pPr>
        <w:pStyle w:val="Footnote"/>
        <w:ind w:left="142" w:hanging="142"/>
        <w:rPr>
          <w:lang w:val="en-GB"/>
        </w:rPr>
      </w:pPr>
      <w:r>
        <w:rPr>
          <w:rStyle w:val="FootnoteReference"/>
        </w:rPr>
        <w:footnoteRef/>
      </w:r>
      <w:r w:rsidRPr="00455FF7">
        <w:rPr>
          <w:lang w:val="en-GB"/>
        </w:rPr>
        <w:t xml:space="preserve"> </w:t>
      </w:r>
      <w:r>
        <w:rPr>
          <w:lang w:val="en-GB"/>
        </w:rPr>
        <w:t xml:space="preserve"> UN (2015). “</w:t>
      </w:r>
      <w:r w:rsidRPr="00455FF7">
        <w:rPr>
          <w:lang w:val="en-GB"/>
        </w:rPr>
        <w:t>Transforming our world: the 2030 Agenda for Sustainable Development</w:t>
      </w:r>
      <w:r>
        <w:rPr>
          <w:lang w:val="en-GB"/>
        </w:rPr>
        <w:t xml:space="preserve">” Available at: </w:t>
      </w:r>
      <w:hyperlink r:id="rId5" w:history="1">
        <w:r w:rsidRPr="00C52D89">
          <w:rPr>
            <w:rStyle w:val="Hyperlink"/>
            <w:lang w:val="en-GB"/>
          </w:rPr>
          <w:t>https://sustainabledevelopment.un.org/post2015/transformingourworld</w:t>
        </w:r>
      </w:hyperlink>
      <w:r>
        <w:rPr>
          <w:lang w:val="en-GB"/>
        </w:rPr>
        <w:t xml:space="preserve">. </w:t>
      </w:r>
    </w:p>
  </w:footnote>
  <w:footnote w:id="7">
    <w:p w14:paraId="32A71A01" w14:textId="77777777" w:rsidR="00563068" w:rsidRPr="00F00D8D" w:rsidRDefault="00563068" w:rsidP="00D17664">
      <w:pPr>
        <w:pStyle w:val="Footnote"/>
        <w:ind w:left="142" w:hanging="142"/>
        <w:rPr>
          <w:lang w:val="en-GB"/>
        </w:rPr>
      </w:pPr>
      <w:r>
        <w:rPr>
          <w:rStyle w:val="FootnoteReference"/>
        </w:rPr>
        <w:footnoteRef/>
      </w:r>
      <w:r w:rsidRPr="00F00D8D">
        <w:rPr>
          <w:lang w:val="en-GB"/>
        </w:rPr>
        <w:t xml:space="preserve"> </w:t>
      </w:r>
      <w:r>
        <w:rPr>
          <w:lang w:val="en-GB"/>
        </w:rPr>
        <w:t xml:space="preserve">IFLA (2016). </w:t>
      </w:r>
      <w:r>
        <w:rPr>
          <w:i/>
          <w:lang w:val="en-GB"/>
        </w:rPr>
        <w:t xml:space="preserve">Access and Opportunity for All: </w:t>
      </w:r>
      <w:r w:rsidRPr="00F00D8D">
        <w:rPr>
          <w:i/>
          <w:lang w:val="en-GB"/>
        </w:rPr>
        <w:t>How Libraries contribute to the United Nations 2030 Agenda</w:t>
      </w:r>
      <w:r>
        <w:rPr>
          <w:lang w:val="en-GB"/>
        </w:rPr>
        <w:t xml:space="preserve">. Available at: </w:t>
      </w:r>
      <w:hyperlink r:id="rId6" w:history="1">
        <w:r w:rsidRPr="00C52D89">
          <w:rPr>
            <w:rStyle w:val="Hyperlink"/>
            <w:lang w:val="en-GB"/>
          </w:rPr>
          <w:t>http://www.ifla.org/publications/node/10546</w:t>
        </w:r>
      </w:hyperlink>
      <w:r>
        <w:rPr>
          <w:lang w:val="en-GB"/>
        </w:rPr>
        <w:t xml:space="preserve">.  </w:t>
      </w:r>
    </w:p>
  </w:footnote>
  <w:footnote w:id="8">
    <w:p w14:paraId="4F9D6623" w14:textId="406ECC80" w:rsidR="00B0710A" w:rsidRPr="002B2E36" w:rsidRDefault="00B0710A" w:rsidP="00D17664">
      <w:pPr>
        <w:pStyle w:val="Footnote"/>
        <w:ind w:left="142" w:hanging="142"/>
        <w:rPr>
          <w:lang w:val="en-GB"/>
        </w:rPr>
      </w:pPr>
      <w:r>
        <w:rPr>
          <w:rStyle w:val="FootnoteReference"/>
        </w:rPr>
        <w:footnoteRef/>
      </w:r>
      <w:r w:rsidRPr="002B2E36">
        <w:rPr>
          <w:lang w:val="en-GB"/>
        </w:rPr>
        <w:t xml:space="preserve"> </w:t>
      </w:r>
      <w:r>
        <w:rPr>
          <w:lang w:val="en-GB"/>
        </w:rPr>
        <w:t xml:space="preserve">Ljubljana City Library (2016). </w:t>
      </w:r>
      <w:r w:rsidRPr="001026F1">
        <w:rPr>
          <w:i/>
          <w:lang w:val="en-GB"/>
        </w:rPr>
        <w:t>The Employment Information Service.</w:t>
      </w:r>
      <w:r>
        <w:rPr>
          <w:lang w:val="en-GB"/>
        </w:rPr>
        <w:t xml:space="preserve"> </w:t>
      </w:r>
      <w:hyperlink r:id="rId7" w:history="1">
        <w:r w:rsidR="0072020B" w:rsidRPr="0028354C">
          <w:rPr>
            <w:rStyle w:val="Hyperlink"/>
            <w:lang w:val="en-GB"/>
          </w:rPr>
          <w:t>http://eng.mklj.si/index.php/special-services/item/1140-the-employment-information-service</w:t>
        </w:r>
      </w:hyperlink>
      <w:r w:rsidR="0072020B">
        <w:rPr>
          <w:lang w:val="en-GB"/>
        </w:rPr>
        <w:t xml:space="preserve"> </w:t>
      </w:r>
    </w:p>
  </w:footnote>
  <w:footnote w:id="9">
    <w:p w14:paraId="64643B62" w14:textId="77777777" w:rsidR="00B0710A" w:rsidRPr="001026F1" w:rsidRDefault="00B0710A" w:rsidP="00D17664">
      <w:pPr>
        <w:pStyle w:val="Footnote"/>
        <w:ind w:left="142" w:hanging="142"/>
        <w:rPr>
          <w:lang w:val="en-GB"/>
        </w:rPr>
      </w:pPr>
      <w:r>
        <w:rPr>
          <w:rStyle w:val="FootnoteReference"/>
        </w:rPr>
        <w:footnoteRef/>
      </w:r>
      <w:r w:rsidRPr="001026F1">
        <w:rPr>
          <w:lang w:val="en-GB"/>
        </w:rPr>
        <w:t xml:space="preserve"> </w:t>
      </w:r>
      <w:r>
        <w:rPr>
          <w:lang w:val="en-GB"/>
        </w:rPr>
        <w:t xml:space="preserve">Global Libraries (2014). </w:t>
      </w:r>
      <w:r w:rsidRPr="001026F1">
        <w:rPr>
          <w:i/>
          <w:lang w:val="en-GB"/>
        </w:rPr>
        <w:t>Access to Learning Award (ATLA)</w:t>
      </w:r>
      <w:r>
        <w:rPr>
          <w:lang w:val="en-GB"/>
        </w:rPr>
        <w:t xml:space="preserve">. Available at: </w:t>
      </w:r>
      <w:hyperlink r:id="rId8" w:history="1">
        <w:r w:rsidRPr="00C52D89">
          <w:rPr>
            <w:rStyle w:val="Hyperlink"/>
            <w:lang w:val="en-GB"/>
          </w:rPr>
          <w:t>http://www.gatesfoundation.org/What-We-Do/Global-Development/Global-Libraries/Access-to-Learning-Award-ATLA</w:t>
        </w:r>
      </w:hyperlink>
      <w:r>
        <w:rPr>
          <w:lang w:val="en-GB"/>
        </w:rPr>
        <w:t xml:space="preserve">. </w:t>
      </w:r>
    </w:p>
  </w:footnote>
  <w:footnote w:id="10">
    <w:p w14:paraId="7447034D" w14:textId="77777777" w:rsidR="00B0710A" w:rsidRPr="00956F42" w:rsidRDefault="00B0710A" w:rsidP="00D17664">
      <w:pPr>
        <w:pStyle w:val="Footnote"/>
        <w:ind w:left="142" w:hanging="142"/>
        <w:rPr>
          <w:rFonts w:eastAsia="Times New Roman"/>
          <w:sz w:val="16"/>
          <w:szCs w:val="16"/>
          <w:lang w:val="en-GB" w:eastAsia="nl-NL"/>
        </w:rPr>
      </w:pPr>
      <w:r w:rsidRPr="00956F42">
        <w:rPr>
          <w:rStyle w:val="FootnoteReference"/>
          <w:sz w:val="20"/>
        </w:rPr>
        <w:footnoteRef/>
      </w:r>
      <w:r w:rsidRPr="00956F42">
        <w:rPr>
          <w:sz w:val="20"/>
          <w:lang w:val="en-GB"/>
        </w:rPr>
        <w:t xml:space="preserve"> </w:t>
      </w:r>
      <w:r w:rsidRPr="00956F42">
        <w:rPr>
          <w:rFonts w:eastAsia="Times New Roman"/>
          <w:szCs w:val="16"/>
          <w:lang w:val="en-GB" w:eastAsia="nl-NL"/>
        </w:rPr>
        <w:t xml:space="preserve">IREX (2015), “Creating sustainable impact: What we've learned from Romanian Libraries,” available at </w:t>
      </w:r>
      <w:hyperlink r:id="rId9" w:history="1">
        <w:r w:rsidRPr="00956F42">
          <w:rPr>
            <w:rStyle w:val="Hyperlink"/>
            <w:rFonts w:eastAsia="Times New Roman"/>
            <w:szCs w:val="16"/>
            <w:lang w:val="en-GB" w:eastAsia="nl-NL"/>
          </w:rPr>
          <w:t>https://www.irex.org/insight/creating-sustainable-impact-what-weve-learned-romanian-libraries</w:t>
        </w:r>
      </w:hyperlink>
      <w:r w:rsidRPr="00956F42">
        <w:rPr>
          <w:rFonts w:eastAsia="Times New Roman"/>
          <w:szCs w:val="16"/>
          <w:lang w:val="en-GB" w:eastAsia="nl-NL"/>
        </w:rPr>
        <w:t xml:space="preserve">. </w:t>
      </w:r>
    </w:p>
  </w:footnote>
  <w:footnote w:id="11">
    <w:p w14:paraId="34C17540" w14:textId="217C2CD4" w:rsidR="008728AC" w:rsidRDefault="008728AC" w:rsidP="00D17664">
      <w:pPr>
        <w:pStyle w:val="Footnote"/>
        <w:ind w:left="142" w:hanging="142"/>
      </w:pPr>
      <w:r>
        <w:rPr>
          <w:vertAlign w:val="superscript"/>
        </w:rPr>
        <w:footnoteRef/>
      </w:r>
      <w:r>
        <w:rPr>
          <w:sz w:val="20"/>
          <w:szCs w:val="20"/>
        </w:rPr>
        <w:t xml:space="preserve"> </w:t>
      </w:r>
      <w:r>
        <w:rPr>
          <w:highlight w:val="white"/>
        </w:rPr>
        <w:t xml:space="preserve">Solar power and ICT connects farmer in four regions of Uganda (2013). Available at: </w:t>
      </w:r>
      <w:hyperlink r:id="rId10" w:history="1">
        <w:r w:rsidR="00B258D3" w:rsidRPr="00DA0FF6">
          <w:rPr>
            <w:rStyle w:val="Hyperlink"/>
            <w:highlight w:val="white"/>
          </w:rPr>
          <w:t>http://www.eifl.net/eifl-in-action/solar-power-and-ict-connects-farmers-four-regions-uganda</w:t>
        </w:r>
      </w:hyperlink>
      <w:r w:rsidR="00B258D3">
        <w:t xml:space="preserve"> </w:t>
      </w:r>
    </w:p>
  </w:footnote>
  <w:footnote w:id="12">
    <w:p w14:paraId="2DE951BF" w14:textId="48A73BA6" w:rsidR="00D17664" w:rsidRPr="00D17664" w:rsidRDefault="00D17664" w:rsidP="001A223D">
      <w:pPr>
        <w:pStyle w:val="Footnote"/>
        <w:ind w:left="142" w:hanging="142"/>
      </w:pPr>
      <w:r>
        <w:rPr>
          <w:rStyle w:val="FootnoteReference"/>
        </w:rPr>
        <w:footnoteRef/>
      </w:r>
      <w:r>
        <w:t xml:space="preserve"> </w:t>
      </w:r>
      <w:r w:rsidRPr="002901BC">
        <w:t xml:space="preserve">Global Libraries Atlas (2015), available at </w:t>
      </w:r>
      <w:hyperlink r:id="rId11" w:history="1">
        <w:r w:rsidRPr="00D17664">
          <w:rPr>
            <w:rStyle w:val="Hyperlink"/>
          </w:rPr>
          <w:t>https://www.glatlas.org</w:t>
        </w:r>
      </w:hyperlink>
      <w:r>
        <w:rPr>
          <w:rStyle w:val="Hyperlink"/>
          <w:color w:val="auto"/>
          <w:u w:val="none"/>
        </w:rPr>
        <w:t>.</w:t>
      </w:r>
    </w:p>
  </w:footnote>
  <w:footnote w:id="13">
    <w:p w14:paraId="44D9702E" w14:textId="23C33AB6" w:rsidR="005135CD" w:rsidRPr="005135CD" w:rsidRDefault="005135CD" w:rsidP="001A223D">
      <w:pPr>
        <w:pStyle w:val="Footnote"/>
        <w:ind w:left="142" w:hanging="142"/>
      </w:pPr>
      <w:r>
        <w:rPr>
          <w:rStyle w:val="FootnoteReference"/>
        </w:rPr>
        <w:footnoteRef/>
      </w:r>
      <w:r>
        <w:t xml:space="preserve"> </w:t>
      </w:r>
      <w:r>
        <w:rPr>
          <w:lang w:val="en-GB"/>
        </w:rPr>
        <w:t xml:space="preserve">ALIA (2014) </w:t>
      </w:r>
      <w:r w:rsidRPr="00970983">
        <w:rPr>
          <w:i/>
          <w:lang w:val="en-GB"/>
        </w:rPr>
        <w:t>Australian special libraries' return on investment.</w:t>
      </w:r>
      <w:r>
        <w:rPr>
          <w:lang w:val="en-GB"/>
        </w:rPr>
        <w:t xml:space="preserve"> Available at: </w:t>
      </w:r>
      <w:hyperlink r:id="rId12" w:history="1">
        <w:r w:rsidRPr="00C52D89">
          <w:rPr>
            <w:rStyle w:val="Hyperlink"/>
            <w:lang w:val="en-GB"/>
          </w:rPr>
          <w:t>https://www.alia.org.au/roispecials</w:t>
        </w:r>
      </w:hyperlink>
      <w:r>
        <w:rPr>
          <w:lang w:val="en-GB"/>
        </w:rPr>
        <w:t>.</w:t>
      </w:r>
    </w:p>
  </w:footnote>
  <w:footnote w:id="14">
    <w:p w14:paraId="279D023E" w14:textId="67B3946C" w:rsidR="005C2344" w:rsidRPr="005C2344" w:rsidRDefault="005C2344" w:rsidP="001A223D">
      <w:pPr>
        <w:pStyle w:val="Footnote"/>
        <w:ind w:left="142" w:hanging="142"/>
      </w:pPr>
      <w:r>
        <w:rPr>
          <w:rStyle w:val="FootnoteReference"/>
        </w:rPr>
        <w:footnoteRef/>
      </w:r>
      <w:r>
        <w:t xml:space="preserve"> </w:t>
      </w:r>
      <w:r>
        <w:rPr>
          <w:lang w:val="en-GB"/>
        </w:rPr>
        <w:t xml:space="preserve">EIFL (2014) </w:t>
      </w:r>
      <w:r w:rsidRPr="006D0A51">
        <w:rPr>
          <w:i/>
          <w:lang w:val="en-GB"/>
        </w:rPr>
        <w:t>Kyrgyz public libraries mobilize hundreds of people to fight TB</w:t>
      </w:r>
      <w:r>
        <w:rPr>
          <w:lang w:val="en-GB"/>
        </w:rPr>
        <w:t xml:space="preserve">. Available at: </w:t>
      </w:r>
      <w:hyperlink r:id="rId13" w:history="1">
        <w:r w:rsidRPr="00C52D89">
          <w:rPr>
            <w:rStyle w:val="Hyperlink"/>
            <w:lang w:val="en-GB"/>
          </w:rPr>
          <w:t>http://www.eifl.net/resources/kyrgyz-public-libraries-mobilize-hundreds-people-fight-tb</w:t>
        </w:r>
      </w:hyperlink>
      <w:r>
        <w:rPr>
          <w:lang w:val="en-GB"/>
        </w:rPr>
        <w:t>.</w:t>
      </w:r>
    </w:p>
  </w:footnote>
  <w:footnote w:id="15">
    <w:p w14:paraId="2A3B0059" w14:textId="77777777" w:rsidR="00B0710A" w:rsidRPr="00D64964" w:rsidRDefault="00B0710A" w:rsidP="001A223D">
      <w:pPr>
        <w:pStyle w:val="Footnote"/>
        <w:ind w:left="142" w:hanging="142"/>
        <w:rPr>
          <w:lang w:val="en-GB"/>
        </w:rPr>
      </w:pPr>
      <w:r>
        <w:rPr>
          <w:rStyle w:val="FootnoteReference"/>
        </w:rPr>
        <w:footnoteRef/>
      </w:r>
      <w:r w:rsidRPr="00D64964">
        <w:rPr>
          <w:lang w:val="en-GB"/>
        </w:rPr>
        <w:t xml:space="preserve"> </w:t>
      </w:r>
      <w:proofErr w:type="spellStart"/>
      <w:r>
        <w:rPr>
          <w:rStyle w:val="personname"/>
          <w:lang w:val="en-GB"/>
        </w:rPr>
        <w:t>Musoke</w:t>
      </w:r>
      <w:proofErr w:type="spellEnd"/>
      <w:r w:rsidRPr="00D64964">
        <w:rPr>
          <w:rStyle w:val="personname"/>
          <w:lang w:val="en-GB"/>
        </w:rPr>
        <w:t>, Maria G. N.</w:t>
      </w:r>
      <w:r w:rsidRPr="00D64964">
        <w:rPr>
          <w:lang w:val="en-GB"/>
        </w:rPr>
        <w:t xml:space="preserve"> (2014) </w:t>
      </w:r>
      <w:r w:rsidRPr="00D64964">
        <w:rPr>
          <w:rStyle w:val="Emphasis"/>
          <w:lang w:val="en-GB"/>
        </w:rPr>
        <w:t>Enhancing access to current literature by health workers in rural Uganda and community health problem solving</w:t>
      </w:r>
      <w:r w:rsidRPr="00D64964">
        <w:rPr>
          <w:lang w:val="en-GB"/>
        </w:rPr>
        <w:t xml:space="preserve">. </w:t>
      </w:r>
      <w:r w:rsidRPr="00FA29BB">
        <w:rPr>
          <w:lang w:val="en-GB"/>
        </w:rPr>
        <w:t>In: IFLA WLIC 2014, 16-22 August 2014, Lyon, France.</w:t>
      </w:r>
    </w:p>
  </w:footnote>
  <w:footnote w:id="16">
    <w:p w14:paraId="34892755" w14:textId="77777777" w:rsidR="00B0710A" w:rsidRPr="00931798" w:rsidRDefault="00B0710A" w:rsidP="001A223D">
      <w:pPr>
        <w:pStyle w:val="Footnote"/>
        <w:ind w:left="142" w:hanging="142"/>
        <w:rPr>
          <w:rFonts w:eastAsia="Times New Roman"/>
          <w:lang w:val="en-GB" w:eastAsia="nl-NL"/>
        </w:rPr>
      </w:pPr>
      <w:r w:rsidRPr="00931798">
        <w:rPr>
          <w:rStyle w:val="FootnoteReference"/>
        </w:rPr>
        <w:footnoteRef/>
      </w:r>
      <w:r w:rsidRPr="00931798">
        <w:rPr>
          <w:lang w:val="en-GB"/>
        </w:rPr>
        <w:t xml:space="preserve"> </w:t>
      </w:r>
      <w:r w:rsidRPr="00931798">
        <w:rPr>
          <w:rFonts w:eastAsia="Times New Roman"/>
          <w:lang w:val="en-GB" w:eastAsia="nl-NL"/>
        </w:rPr>
        <w:t xml:space="preserve">IFLA (2013), “The Role of Public Libraries in the Attainment of Botswana’s Vision 2016,” available at </w:t>
      </w:r>
      <w:hyperlink r:id="rId14" w:history="1">
        <w:r w:rsidRPr="00931798">
          <w:rPr>
            <w:rStyle w:val="Hyperlink"/>
            <w:rFonts w:eastAsia="Times New Roman"/>
            <w:lang w:val="en-GB" w:eastAsia="nl-NL"/>
          </w:rPr>
          <w:t>http://library.ifla.org/258/1/201-radijeng-en.pdf</w:t>
        </w:r>
      </w:hyperlink>
      <w:r w:rsidRPr="00931798">
        <w:rPr>
          <w:rFonts w:eastAsia="Times New Roman"/>
          <w:lang w:val="en-GB" w:eastAsia="nl-NL"/>
        </w:rPr>
        <w:t>.</w:t>
      </w:r>
    </w:p>
  </w:footnote>
  <w:footnote w:id="17">
    <w:p w14:paraId="7262221F" w14:textId="77777777" w:rsidR="00635644" w:rsidRPr="00635644" w:rsidRDefault="00635644" w:rsidP="001A223D">
      <w:pPr>
        <w:pStyle w:val="Footnote"/>
        <w:ind w:left="142" w:hanging="142"/>
      </w:pPr>
      <w:r w:rsidRPr="001A223D">
        <w:rPr>
          <w:rStyle w:val="FootnoteReference"/>
        </w:rPr>
        <w:footnoteRef/>
      </w:r>
      <w:r>
        <w:t xml:space="preserve"> GED is a high school equivalency test.</w:t>
      </w:r>
    </w:p>
  </w:footnote>
  <w:footnote w:id="18">
    <w:p w14:paraId="0CB6A8EC" w14:textId="77777777" w:rsidR="00B0710A" w:rsidRPr="00931798" w:rsidRDefault="00B0710A" w:rsidP="001A223D">
      <w:pPr>
        <w:pStyle w:val="Footnote"/>
        <w:ind w:left="142" w:hanging="142"/>
        <w:rPr>
          <w:lang w:val="en-GB"/>
        </w:rPr>
      </w:pPr>
      <w:r w:rsidRPr="00931798">
        <w:rPr>
          <w:rStyle w:val="FootnoteReference"/>
        </w:rPr>
        <w:footnoteRef/>
      </w:r>
      <w:r w:rsidRPr="00931798">
        <w:rPr>
          <w:lang w:val="en-GB"/>
        </w:rPr>
        <w:t xml:space="preserve"> </w:t>
      </w:r>
      <w:proofErr w:type="spellStart"/>
      <w:r w:rsidRPr="00931798">
        <w:rPr>
          <w:rFonts w:eastAsia="Times New Roman"/>
          <w:lang w:val="en-GB" w:eastAsia="nl-NL"/>
        </w:rPr>
        <w:t>Center</w:t>
      </w:r>
      <w:proofErr w:type="spellEnd"/>
      <w:r w:rsidRPr="00931798">
        <w:rPr>
          <w:rFonts w:eastAsia="Times New Roman"/>
          <w:lang w:val="en-GB" w:eastAsia="nl-NL"/>
        </w:rPr>
        <w:t xml:space="preserve"> for an Urban Future (2013) “Branches of Opportunity,” available at </w:t>
      </w:r>
      <w:hyperlink r:id="rId15" w:history="1">
        <w:r w:rsidRPr="00931798">
          <w:rPr>
            <w:rStyle w:val="Hyperlink"/>
            <w:rFonts w:eastAsia="Times New Roman"/>
            <w:lang w:val="en-GB" w:eastAsia="nl-NL"/>
          </w:rPr>
          <w:t>https://nycfuture.org/pdf/Branches_of_Opportunity.pdf</w:t>
        </w:r>
      </w:hyperlink>
      <w:r w:rsidRPr="00931798">
        <w:rPr>
          <w:rFonts w:eastAsia="Times New Roman"/>
          <w:lang w:val="en-GB" w:eastAsia="nl-NL"/>
        </w:rPr>
        <w:t xml:space="preserve">. </w:t>
      </w:r>
    </w:p>
  </w:footnote>
  <w:footnote w:id="19">
    <w:p w14:paraId="79E4C8CC" w14:textId="03C20553" w:rsidR="00F95B07" w:rsidRPr="00F95B07" w:rsidRDefault="00F95B07" w:rsidP="001A223D">
      <w:pPr>
        <w:pStyle w:val="Footnote"/>
        <w:ind w:left="142" w:hanging="142"/>
      </w:pPr>
      <w:r>
        <w:rPr>
          <w:rStyle w:val="FootnoteReference"/>
        </w:rPr>
        <w:footnoteRef/>
      </w:r>
      <w:r>
        <w:t xml:space="preserve"> Souter, David (2016) “Inside the Information Society”, </w:t>
      </w:r>
      <w:hyperlink r:id="rId16" w:history="1">
        <w:r w:rsidRPr="00DA0FF6">
          <w:rPr>
            <w:rStyle w:val="Hyperlink"/>
          </w:rPr>
          <w:t>http://www.apc.org/en/blog/inside-information-society-how-digital-divide-has</w:t>
        </w:r>
      </w:hyperlink>
      <w:r>
        <w:t xml:space="preserve">. </w:t>
      </w:r>
    </w:p>
  </w:footnote>
  <w:footnote w:id="20">
    <w:p w14:paraId="567B0C52" w14:textId="29B2A92D" w:rsidR="003B3C73" w:rsidRPr="00931798" w:rsidRDefault="003B3C73" w:rsidP="001A223D">
      <w:pPr>
        <w:pStyle w:val="Footnote"/>
        <w:ind w:left="142" w:hanging="142"/>
        <w:rPr>
          <w:rFonts w:eastAsia="Times New Roman"/>
          <w:lang w:val="en-GB" w:eastAsia="nl-NL"/>
        </w:rPr>
      </w:pPr>
      <w:r w:rsidRPr="00931798">
        <w:rPr>
          <w:rStyle w:val="FootnoteReference"/>
        </w:rPr>
        <w:footnoteRef/>
      </w:r>
      <w:r w:rsidRPr="00931798">
        <w:rPr>
          <w:lang w:val="en-GB"/>
        </w:rPr>
        <w:t xml:space="preserve"> </w:t>
      </w:r>
      <w:r w:rsidR="009A62D1">
        <w:rPr>
          <w:lang w:val="en-GB"/>
        </w:rPr>
        <w:t xml:space="preserve">(This contribution can of course also be related to the sustainable agriculture in SDG 2. </w:t>
      </w:r>
      <w:r w:rsidRPr="00931798">
        <w:rPr>
          <w:rFonts w:eastAsia="Times New Roman"/>
          <w:lang w:val="en-GB" w:eastAsia="nl-NL"/>
        </w:rPr>
        <w:t xml:space="preserve">Beyond Access (2012), “Empowering Women and Girls Through ICT at Libraries,” available at </w:t>
      </w:r>
      <w:hyperlink r:id="rId17" w:history="1">
        <w:r w:rsidRPr="00931798">
          <w:rPr>
            <w:rStyle w:val="Hyperlink"/>
            <w:rFonts w:eastAsia="Times New Roman"/>
            <w:lang w:val="en-GB" w:eastAsia="nl-NL"/>
          </w:rPr>
          <w:t>http://beyondaccess.net/wp-content/uploads/2013/07/Beyond-Access_Girl-sandICT-Issue-Brief.pdf</w:t>
        </w:r>
      </w:hyperlink>
      <w:r w:rsidRPr="00931798">
        <w:rPr>
          <w:rFonts w:eastAsia="Times New Roman"/>
          <w:lang w:val="en-GB" w:eastAsia="nl-NL"/>
        </w:rPr>
        <w:t xml:space="preserve">. </w:t>
      </w:r>
    </w:p>
  </w:footnote>
  <w:footnote w:id="21">
    <w:p w14:paraId="4C9B51AD" w14:textId="57B95248" w:rsidR="00445732" w:rsidRDefault="00445732" w:rsidP="001A223D">
      <w:pPr>
        <w:pStyle w:val="Footnote"/>
        <w:ind w:left="142" w:hanging="142"/>
      </w:pPr>
      <w:r>
        <w:rPr>
          <w:vertAlign w:val="superscript"/>
        </w:rPr>
        <w:footnoteRef/>
      </w:r>
      <w:r>
        <w:rPr>
          <w:highlight w:val="white"/>
        </w:rPr>
        <w:t xml:space="preserve"> </w:t>
      </w:r>
      <w:proofErr w:type="spellStart"/>
      <w:r>
        <w:rPr>
          <w:i/>
          <w:highlight w:val="white"/>
        </w:rPr>
        <w:t>Rija’tzuul</w:t>
      </w:r>
      <w:proofErr w:type="spellEnd"/>
      <w:r>
        <w:rPr>
          <w:i/>
          <w:highlight w:val="white"/>
        </w:rPr>
        <w:t xml:space="preserve"> </w:t>
      </w:r>
      <w:proofErr w:type="spellStart"/>
      <w:r>
        <w:rPr>
          <w:i/>
          <w:highlight w:val="white"/>
        </w:rPr>
        <w:t>Na’ooj</w:t>
      </w:r>
      <w:proofErr w:type="spellEnd"/>
      <w:r>
        <w:rPr>
          <w:i/>
          <w:highlight w:val="white"/>
        </w:rPr>
        <w:t xml:space="preserve"> Library empowers talented women weavers in Guatemala</w:t>
      </w:r>
      <w:r w:rsidR="005661CE">
        <w:rPr>
          <w:highlight w:val="white"/>
        </w:rPr>
        <w:t xml:space="preserve"> (2013)</w:t>
      </w:r>
      <w:r>
        <w:rPr>
          <w:highlight w:val="white"/>
        </w:rPr>
        <w:t xml:space="preserve"> EIFL</w:t>
      </w:r>
      <w:r>
        <w:rPr>
          <w:rFonts w:ascii="Arial" w:eastAsia="Arial" w:hAnsi="Arial"/>
          <w:color w:val="545454"/>
          <w:sz w:val="27"/>
          <w:szCs w:val="27"/>
          <w:shd w:val="clear" w:color="auto" w:fill="FAFAFA"/>
        </w:rPr>
        <w:t xml:space="preserve"> </w:t>
      </w:r>
      <w:r>
        <w:rPr>
          <w:highlight w:val="white"/>
        </w:rPr>
        <w:t xml:space="preserve">Public Library Innovation Award </w:t>
      </w:r>
      <w:r w:rsidR="005661CE">
        <w:rPr>
          <w:highlight w:val="white"/>
        </w:rPr>
        <w:t>for empowering women and girls</w:t>
      </w:r>
      <w:r>
        <w:rPr>
          <w:highlight w:val="white"/>
        </w:rPr>
        <w:t xml:space="preserve">, available at: </w:t>
      </w:r>
      <w:hyperlink r:id="rId18" w:history="1">
        <w:r w:rsidR="005661CE" w:rsidRPr="00DA0FF6">
          <w:rPr>
            <w:rStyle w:val="Hyperlink"/>
            <w:rFonts w:eastAsia="Calibri" w:cs="Calibri"/>
            <w:highlight w:val="white"/>
          </w:rPr>
          <w:t>http://eifl.net/eifl-in-action/empowering-women-and-girls-innovation-award-0</w:t>
        </w:r>
      </w:hyperlink>
      <w:r w:rsidR="005661CE">
        <w:t xml:space="preserve"> </w:t>
      </w:r>
    </w:p>
  </w:footnote>
  <w:footnote w:id="22">
    <w:p w14:paraId="49949488" w14:textId="77777777" w:rsidR="003B3C73" w:rsidRPr="00931798" w:rsidRDefault="003B3C73" w:rsidP="001A223D">
      <w:pPr>
        <w:pStyle w:val="Footnote"/>
        <w:ind w:left="142" w:hanging="142"/>
        <w:rPr>
          <w:rFonts w:eastAsia="Times New Roman"/>
          <w:lang w:val="en-GB" w:eastAsia="nl-NL"/>
        </w:rPr>
      </w:pPr>
      <w:r w:rsidRPr="00931798">
        <w:rPr>
          <w:rStyle w:val="FootnoteReference"/>
        </w:rPr>
        <w:footnoteRef/>
      </w:r>
      <w:r w:rsidRPr="00931798">
        <w:rPr>
          <w:lang w:val="en-GB"/>
        </w:rPr>
        <w:t xml:space="preserve"> </w:t>
      </w:r>
      <w:r w:rsidRPr="00931798">
        <w:rPr>
          <w:rFonts w:eastAsia="Times New Roman"/>
          <w:lang w:val="en-GB" w:eastAsia="nl-NL"/>
        </w:rPr>
        <w:t xml:space="preserve">Global Libraries Atlas (2015), available at </w:t>
      </w:r>
      <w:hyperlink r:id="rId19" w:history="1">
        <w:r w:rsidRPr="00931798">
          <w:rPr>
            <w:rStyle w:val="Hyperlink"/>
            <w:rFonts w:eastAsia="Times New Roman"/>
            <w:lang w:val="en-GB" w:eastAsia="nl-NL"/>
          </w:rPr>
          <w:t>https://www.glatlas.org</w:t>
        </w:r>
      </w:hyperlink>
      <w:r w:rsidRPr="00931798">
        <w:rPr>
          <w:rFonts w:eastAsia="Times New Roman"/>
          <w:lang w:val="en-GB" w:eastAsia="nl-NL"/>
        </w:rPr>
        <w:t>.</w:t>
      </w:r>
    </w:p>
  </w:footnote>
  <w:footnote w:id="23">
    <w:p w14:paraId="64131114" w14:textId="77777777" w:rsidR="003B3C73" w:rsidRPr="00931798" w:rsidRDefault="003B3C73" w:rsidP="001A223D">
      <w:pPr>
        <w:pStyle w:val="Footnote"/>
        <w:ind w:left="142" w:hanging="142"/>
        <w:rPr>
          <w:lang w:val="en-GB"/>
        </w:rPr>
      </w:pPr>
      <w:r w:rsidRPr="00931798">
        <w:rPr>
          <w:rStyle w:val="FootnoteReference"/>
        </w:rPr>
        <w:footnoteRef/>
      </w:r>
      <w:r w:rsidRPr="00931798">
        <w:rPr>
          <w:lang w:val="en-GB"/>
        </w:rPr>
        <w:t xml:space="preserve"> </w:t>
      </w:r>
      <w:proofErr w:type="spellStart"/>
      <w:r w:rsidRPr="00931798">
        <w:rPr>
          <w:rFonts w:eastAsia="Times New Roman"/>
          <w:lang w:val="en-GB" w:eastAsia="nl-NL"/>
        </w:rPr>
        <w:t>Center</w:t>
      </w:r>
      <w:proofErr w:type="spellEnd"/>
      <w:r w:rsidRPr="00931798">
        <w:rPr>
          <w:rFonts w:eastAsia="Times New Roman"/>
          <w:lang w:val="en-GB" w:eastAsia="nl-NL"/>
        </w:rPr>
        <w:t xml:space="preserve"> for an Urban Future (2013), “Branches of Opportunity,” available at </w:t>
      </w:r>
      <w:hyperlink r:id="rId20" w:history="1">
        <w:r w:rsidRPr="00931798">
          <w:rPr>
            <w:rStyle w:val="Hyperlink"/>
            <w:rFonts w:eastAsia="Times New Roman"/>
            <w:lang w:val="en-GB" w:eastAsia="nl-NL"/>
          </w:rPr>
          <w:t>https://nycfuture.org/pdf/Branches_of_Opportunity.pdf</w:t>
        </w:r>
      </w:hyperlink>
      <w:r w:rsidRPr="00931798">
        <w:rPr>
          <w:rFonts w:eastAsia="Times New Roman"/>
          <w:lang w:val="en-GB" w:eastAsia="nl-NL"/>
        </w:rPr>
        <w:t>.</w:t>
      </w:r>
    </w:p>
  </w:footnote>
  <w:footnote w:id="24">
    <w:p w14:paraId="4A8306C7" w14:textId="77777777" w:rsidR="003B3C73" w:rsidRPr="00931798" w:rsidRDefault="003B3C73" w:rsidP="001A223D">
      <w:pPr>
        <w:pStyle w:val="Footnote"/>
        <w:ind w:left="142" w:hanging="142"/>
        <w:rPr>
          <w:rFonts w:ascii="Arial" w:eastAsia="Times New Roman" w:hAnsi="Arial"/>
          <w:lang w:val="en-GB" w:eastAsia="nl-NL"/>
        </w:rPr>
      </w:pPr>
      <w:r w:rsidRPr="00931798">
        <w:rPr>
          <w:rStyle w:val="FootnoteReference"/>
        </w:rPr>
        <w:footnoteRef/>
      </w:r>
      <w:r w:rsidRPr="00931798">
        <w:rPr>
          <w:lang w:val="en-GB"/>
        </w:rPr>
        <w:t xml:space="preserve"> </w:t>
      </w:r>
      <w:r w:rsidRPr="00931798">
        <w:rPr>
          <w:rFonts w:eastAsia="Times New Roman"/>
          <w:lang w:val="en-GB" w:eastAsia="nl-NL"/>
        </w:rPr>
        <w:t xml:space="preserve">Public Libraries 2020 (2014), “See the numbers,” available at </w:t>
      </w:r>
      <w:hyperlink r:id="rId21" w:history="1">
        <w:r w:rsidRPr="00931798">
          <w:rPr>
            <w:rStyle w:val="Hyperlink"/>
            <w:rFonts w:eastAsia="Times New Roman"/>
            <w:lang w:val="en-GB" w:eastAsia="nl-NL"/>
          </w:rPr>
          <w:t>http://www.publiclibraries2020.eu/content/see-numbers</w:t>
        </w:r>
      </w:hyperlink>
      <w:r w:rsidRPr="00931798">
        <w:rPr>
          <w:rFonts w:eastAsia="Times New Roman"/>
          <w:lang w:val="en-GB" w:eastAsia="nl-NL"/>
        </w:rPr>
        <w:t>.</w:t>
      </w:r>
      <w:r w:rsidRPr="00931798">
        <w:rPr>
          <w:rFonts w:ascii="Arial" w:eastAsia="Times New Roman" w:hAnsi="Arial"/>
          <w:lang w:val="en-GB" w:eastAsia="nl-NL"/>
        </w:rPr>
        <w:t xml:space="preserve"> </w:t>
      </w:r>
    </w:p>
  </w:footnote>
  <w:footnote w:id="25">
    <w:p w14:paraId="66C35E00" w14:textId="3BC7C641" w:rsidR="00713CA3" w:rsidRDefault="00713CA3" w:rsidP="001A223D">
      <w:pPr>
        <w:pStyle w:val="Footnote"/>
        <w:ind w:left="142" w:hanging="142"/>
      </w:pPr>
      <w:r>
        <w:rPr>
          <w:vertAlign w:val="superscript"/>
        </w:rPr>
        <w:footnoteRef/>
      </w:r>
      <w:r>
        <w:rPr>
          <w:sz w:val="20"/>
          <w:szCs w:val="20"/>
        </w:rPr>
        <w:t xml:space="preserve"> </w:t>
      </w:r>
      <w:r>
        <w:rPr>
          <w:highlight w:val="white"/>
        </w:rPr>
        <w:t>Rijeka City Library, Croatia (2015) “</w:t>
      </w:r>
      <w:r w:rsidRPr="00713CA3">
        <w:rPr>
          <w:highlight w:val="white"/>
        </w:rPr>
        <w:t>3D printing project turns library into youth ‘Makerspace’”</w:t>
      </w:r>
      <w:r>
        <w:rPr>
          <w:highlight w:val="white"/>
        </w:rPr>
        <w:t xml:space="preserve"> Available at: </w:t>
      </w:r>
      <w:hyperlink r:id="rId22" w:history="1">
        <w:r w:rsidRPr="00DA0FF6">
          <w:rPr>
            <w:rStyle w:val="Hyperlink"/>
            <w:rFonts w:eastAsia="Calibri" w:cs="Calibri"/>
            <w:highlight w:val="white"/>
          </w:rPr>
          <w:t>http://www.eifl.net/eifl-in-action/3d-printing-project-turns-library-youth-makerspace</w:t>
        </w:r>
      </w:hyperlink>
      <w:r>
        <w:t xml:space="preserve"> </w:t>
      </w:r>
    </w:p>
  </w:footnote>
  <w:footnote w:id="26">
    <w:p w14:paraId="1FA7EA52" w14:textId="77777777" w:rsidR="00DE656D" w:rsidRPr="00DE656D" w:rsidRDefault="00DE656D" w:rsidP="001A223D">
      <w:pPr>
        <w:pStyle w:val="Footnote"/>
        <w:ind w:left="142" w:hanging="142"/>
        <w:rPr>
          <w:lang w:val="en-GB"/>
        </w:rPr>
      </w:pPr>
      <w:r>
        <w:rPr>
          <w:rStyle w:val="FootnoteReference"/>
        </w:rPr>
        <w:footnoteRef/>
      </w:r>
      <w:r>
        <w:t xml:space="preserve"> Alliance for Affordable Internet (2015). </w:t>
      </w:r>
      <w:r w:rsidRPr="00DE656D">
        <w:rPr>
          <w:i/>
        </w:rPr>
        <w:t>The 2015-16 Affordability Report</w:t>
      </w:r>
      <w:r>
        <w:t xml:space="preserve">, </w:t>
      </w:r>
      <w:r>
        <w:rPr>
          <w:lang w:val="en-GB"/>
        </w:rPr>
        <w:t xml:space="preserve">available at: </w:t>
      </w:r>
      <w:hyperlink r:id="rId23" w:anchor="prioritise_public_access_facilities" w:history="1">
        <w:r w:rsidRPr="00B31F8E">
          <w:rPr>
            <w:rStyle w:val="Hyperlink"/>
            <w:lang w:val="en-GB"/>
          </w:rPr>
          <w:t>http://a4ai.org/affordability-report/report/2015/#prioritise_public_access_facilities</w:t>
        </w:r>
      </w:hyperlink>
      <w:r>
        <w:rPr>
          <w:lang w:val="en-GB"/>
        </w:rPr>
        <w:t xml:space="preserve"> </w:t>
      </w:r>
    </w:p>
  </w:footnote>
  <w:footnote w:id="27">
    <w:p w14:paraId="07D50018" w14:textId="77777777" w:rsidR="003D2255" w:rsidRPr="00931798" w:rsidRDefault="003D2255" w:rsidP="001A223D">
      <w:pPr>
        <w:pStyle w:val="Footnote"/>
        <w:ind w:left="142" w:hanging="142"/>
        <w:rPr>
          <w:lang w:val="en-GB"/>
        </w:rPr>
      </w:pPr>
      <w:r w:rsidRPr="00931798">
        <w:rPr>
          <w:rStyle w:val="FootnoteReference"/>
        </w:rPr>
        <w:footnoteRef/>
      </w:r>
      <w:r w:rsidRPr="00931798">
        <w:t xml:space="preserve"> </w:t>
      </w:r>
      <w:proofErr w:type="spellStart"/>
      <w:r w:rsidR="00931798" w:rsidRPr="00931798">
        <w:t>Trešais</w:t>
      </w:r>
      <w:proofErr w:type="spellEnd"/>
      <w:r w:rsidR="00931798" w:rsidRPr="00931798">
        <w:t xml:space="preserve"> </w:t>
      </w:r>
      <w:proofErr w:type="spellStart"/>
      <w:r w:rsidR="00931798" w:rsidRPr="00931798">
        <w:t>tēva</w:t>
      </w:r>
      <w:proofErr w:type="spellEnd"/>
      <w:r w:rsidR="00931798" w:rsidRPr="00931798">
        <w:t xml:space="preserve"> </w:t>
      </w:r>
      <w:proofErr w:type="spellStart"/>
      <w:r w:rsidR="00931798" w:rsidRPr="00931798">
        <w:t>dēls</w:t>
      </w:r>
      <w:proofErr w:type="spellEnd"/>
      <w:r w:rsidR="00931798" w:rsidRPr="00931798">
        <w:t xml:space="preserve"> (2012). </w:t>
      </w:r>
      <w:r w:rsidR="00931798" w:rsidRPr="00931798">
        <w:rPr>
          <w:i/>
        </w:rPr>
        <w:t>Economic value and impact of public libraries in Latvia: A Study Report</w:t>
      </w:r>
      <w:r w:rsidR="00931798">
        <w:t>,</w:t>
      </w:r>
      <w:r w:rsidR="00931798" w:rsidRPr="00931798">
        <w:t xml:space="preserve"> </w:t>
      </w:r>
      <w:r w:rsidR="00931798">
        <w:t>a</w:t>
      </w:r>
      <w:r w:rsidR="00931798" w:rsidRPr="00931798">
        <w:t xml:space="preserve">vailable at: </w:t>
      </w:r>
      <w:hyperlink r:id="rId24" w:history="1">
        <w:r w:rsidR="006824B3" w:rsidRPr="00B31F8E">
          <w:rPr>
            <w:rStyle w:val="Hyperlink"/>
          </w:rPr>
          <w:t>http://www.kis.gov.lv/download/Economic%20value%20and%20impact%20of%20public%20libraries%20in%20Latvia.pdf</w:t>
        </w:r>
      </w:hyperlink>
      <w:r w:rsidR="006824B3">
        <w:t xml:space="preserve"> </w:t>
      </w:r>
    </w:p>
  </w:footnote>
  <w:footnote w:id="28">
    <w:p w14:paraId="049F8023" w14:textId="1A7B56CC" w:rsidR="00D629C8" w:rsidRPr="004C6B0E" w:rsidRDefault="00D629C8" w:rsidP="001A223D">
      <w:pPr>
        <w:pStyle w:val="Footnote"/>
        <w:ind w:left="142" w:hanging="142"/>
        <w:rPr>
          <w:lang w:val="fr-FR"/>
        </w:rPr>
      </w:pPr>
      <w:r>
        <w:rPr>
          <w:vertAlign w:val="superscript"/>
        </w:rPr>
        <w:footnoteRef/>
      </w:r>
      <w:r>
        <w:rPr>
          <w:sz w:val="20"/>
          <w:szCs w:val="20"/>
        </w:rPr>
        <w:t xml:space="preserve"> </w:t>
      </w:r>
      <w:r>
        <w:rPr>
          <w:i/>
          <w:highlight w:val="white"/>
        </w:rPr>
        <w:t xml:space="preserve">Public library’s environmental education </w:t>
      </w:r>
      <w:proofErr w:type="spellStart"/>
      <w:r>
        <w:rPr>
          <w:i/>
          <w:highlight w:val="white"/>
        </w:rPr>
        <w:t>programme</w:t>
      </w:r>
      <w:proofErr w:type="spellEnd"/>
      <w:r>
        <w:rPr>
          <w:i/>
          <w:highlight w:val="white"/>
        </w:rPr>
        <w:t xml:space="preserve"> inspires young people to action in Poland: </w:t>
      </w:r>
      <w:r>
        <w:rPr>
          <w:highlight w:val="white"/>
        </w:rPr>
        <w:t xml:space="preserve">EIFL Innovation Award for Improving </w:t>
      </w:r>
      <w:r w:rsidR="00484AED">
        <w:rPr>
          <w:highlight w:val="white"/>
        </w:rPr>
        <w:t>P</w:t>
      </w:r>
      <w:r>
        <w:rPr>
          <w:highlight w:val="white"/>
        </w:rPr>
        <w:t>eople’s Lives (2016)</w:t>
      </w:r>
      <w:r>
        <w:rPr>
          <w:i/>
          <w:highlight w:val="white"/>
        </w:rPr>
        <w:t xml:space="preserve">. </w:t>
      </w:r>
      <w:proofErr w:type="spellStart"/>
      <w:proofErr w:type="gramStart"/>
      <w:r w:rsidRPr="004C6B0E">
        <w:rPr>
          <w:highlight w:val="white"/>
          <w:lang w:val="fr-FR"/>
        </w:rPr>
        <w:t>Available</w:t>
      </w:r>
      <w:proofErr w:type="spellEnd"/>
      <w:r w:rsidRPr="004C6B0E">
        <w:rPr>
          <w:highlight w:val="white"/>
          <w:lang w:val="fr-FR"/>
        </w:rPr>
        <w:t>:</w:t>
      </w:r>
      <w:proofErr w:type="gramEnd"/>
      <w:r w:rsidRPr="004C6B0E">
        <w:rPr>
          <w:highlight w:val="white"/>
          <w:lang w:val="fr-FR"/>
        </w:rPr>
        <w:t xml:space="preserve"> </w:t>
      </w:r>
      <w:hyperlink r:id="rId25" w:history="1">
        <w:r w:rsidRPr="004C6B0E">
          <w:rPr>
            <w:rStyle w:val="FollowedHyperlink"/>
            <w:highlight w:val="white"/>
            <w:lang w:val="fr-FR"/>
          </w:rPr>
          <w:t>http://www.eifl.net/eifl-in-action/improving-peoples-lives-innovation-award-0</w:t>
        </w:r>
      </w:hyperlink>
      <w:r w:rsidRPr="004C6B0E">
        <w:rPr>
          <w:highlight w:val="white"/>
          <w:lang w:val="fr-FR"/>
        </w:rPr>
        <w:t xml:space="preserve"> </w:t>
      </w:r>
      <w:r w:rsidRPr="004C6B0E">
        <w:rPr>
          <w:i/>
          <w:highlight w:val="white"/>
          <w:lang w:val="fr-FR"/>
        </w:rPr>
        <w:t xml:space="preserve"> </w:t>
      </w:r>
    </w:p>
  </w:footnote>
  <w:footnote w:id="29">
    <w:p w14:paraId="08138040" w14:textId="50428933" w:rsidR="006053EC" w:rsidRPr="006053EC" w:rsidRDefault="006053EC" w:rsidP="006053EC">
      <w:pPr>
        <w:pStyle w:val="Footnote"/>
        <w:rPr>
          <w:lang w:val="nl-NL"/>
        </w:rPr>
      </w:pPr>
      <w:r>
        <w:rPr>
          <w:rStyle w:val="FootnoteReference"/>
        </w:rPr>
        <w:footnoteRef/>
      </w:r>
      <w:r w:rsidRPr="006053EC">
        <w:rPr>
          <w:lang w:val="nl-NL"/>
        </w:rPr>
        <w:t xml:space="preserve"> </w:t>
      </w:r>
      <w:r w:rsidRPr="006053EC">
        <w:rPr>
          <w:lang w:val="nl-NL"/>
        </w:rPr>
        <w:t>MAKAIA.</w:t>
      </w:r>
      <w:r w:rsidRPr="00F54634">
        <w:rPr>
          <w:rStyle w:val="Hyperlink"/>
          <w:lang w:val="nl-NL"/>
        </w:rPr>
        <w:t xml:space="preserve"> http://www.makaia.org/</w:t>
      </w:r>
    </w:p>
  </w:footnote>
  <w:footnote w:id="30">
    <w:p w14:paraId="76249337" w14:textId="3D1319A5" w:rsidR="006053EC" w:rsidRPr="006053EC" w:rsidRDefault="006053EC" w:rsidP="006053EC">
      <w:pPr>
        <w:pStyle w:val="Footnote"/>
        <w:rPr>
          <w:lang w:val="en-GB"/>
        </w:rPr>
      </w:pPr>
      <w:r>
        <w:rPr>
          <w:rStyle w:val="FootnoteReference"/>
        </w:rPr>
        <w:footnoteRef/>
      </w:r>
      <w:r>
        <w:t xml:space="preserve"> </w:t>
      </w:r>
      <w:r>
        <w:rPr>
          <w:lang w:val="en-GB"/>
        </w:rPr>
        <w:t xml:space="preserve">Gigabit Libraries Network – </w:t>
      </w:r>
      <w:proofErr w:type="spellStart"/>
      <w:r>
        <w:rPr>
          <w:lang w:val="en-GB"/>
        </w:rPr>
        <w:t>WhiteSpace</w:t>
      </w:r>
      <w:proofErr w:type="spellEnd"/>
      <w:r>
        <w:rPr>
          <w:lang w:val="en-GB"/>
        </w:rPr>
        <w:t xml:space="preserve"> Project. </w:t>
      </w:r>
      <w:hyperlink r:id="rId26" w:history="1">
        <w:r w:rsidRPr="0028354C">
          <w:rPr>
            <w:rStyle w:val="Hyperlink"/>
            <w:lang w:val="en-GB"/>
          </w:rPr>
          <w:t>http://giglibraries.net/page-1712342</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701"/>
      <w:gridCol w:w="1026"/>
      <w:gridCol w:w="2518"/>
    </w:tblGrid>
    <w:tr w:rsidR="00857FA3" w14:paraId="62742F69" w14:textId="77777777" w:rsidTr="00162358">
      <w:trPr>
        <w:trHeight w:val="1170"/>
      </w:trPr>
      <w:tc>
        <w:tcPr>
          <w:tcW w:w="5387" w:type="dxa"/>
        </w:tcPr>
        <w:p w14:paraId="0BADA414" w14:textId="77777777" w:rsidR="00857FA3" w:rsidRDefault="00857FA3" w:rsidP="002B1418">
          <w:pPr>
            <w:spacing w:before="100" w:beforeAutospacing="1" w:after="100" w:afterAutospacing="1"/>
            <w:rPr>
              <w:u w:color="1A1A1A"/>
            </w:rPr>
          </w:pPr>
          <w:r w:rsidRPr="007A7C68">
            <w:rPr>
              <w:noProof/>
              <w:lang w:val="nl-NL" w:eastAsia="nl-NL"/>
            </w:rPr>
            <w:drawing>
              <wp:inline distT="0" distB="0" distL="0" distR="0" wp14:anchorId="0B343598" wp14:editId="6F1A887D">
                <wp:extent cx="2637469" cy="7625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fla.org/logos/logo-ifla-with-text.png"/>
                        <pic:cNvPicPr>
                          <a:picLocks noChangeAspect="1" noChangeArrowheads="1"/>
                        </pic:cNvPicPr>
                      </pic:nvPicPr>
                      <pic:blipFill>
                        <a:blip r:embed="rId1"/>
                        <a:stretch>
                          <a:fillRect/>
                        </a:stretch>
                      </pic:blipFill>
                      <pic:spPr bwMode="auto">
                        <a:xfrm>
                          <a:off x="0" y="0"/>
                          <a:ext cx="2637469" cy="762534"/>
                        </a:xfrm>
                        <a:prstGeom prst="rect">
                          <a:avLst/>
                        </a:prstGeom>
                        <a:noFill/>
                        <a:ln>
                          <a:noFill/>
                        </a:ln>
                      </pic:spPr>
                    </pic:pic>
                  </a:graphicData>
                </a:graphic>
              </wp:inline>
            </w:drawing>
          </w:r>
        </w:p>
      </w:tc>
      <w:tc>
        <w:tcPr>
          <w:tcW w:w="1701" w:type="dxa"/>
        </w:tcPr>
        <w:p w14:paraId="1F7C477E" w14:textId="77777777" w:rsidR="00857FA3" w:rsidRDefault="00857FA3" w:rsidP="002B1418">
          <w:pPr>
            <w:spacing w:before="100" w:beforeAutospacing="1" w:after="100" w:afterAutospacing="1"/>
            <w:rPr>
              <w:u w:color="1A1A1A"/>
            </w:rPr>
          </w:pPr>
        </w:p>
      </w:tc>
      <w:tc>
        <w:tcPr>
          <w:tcW w:w="1026" w:type="dxa"/>
        </w:tcPr>
        <w:p w14:paraId="7DCF7766" w14:textId="77777777" w:rsidR="00857FA3" w:rsidRDefault="00857FA3" w:rsidP="002B1418">
          <w:pPr>
            <w:spacing w:before="100" w:beforeAutospacing="1" w:after="100" w:afterAutospacing="1"/>
            <w:rPr>
              <w:u w:color="1A1A1A"/>
            </w:rPr>
          </w:pPr>
        </w:p>
      </w:tc>
      <w:tc>
        <w:tcPr>
          <w:tcW w:w="2518" w:type="dxa"/>
        </w:tcPr>
        <w:p w14:paraId="1B2480F6" w14:textId="3E13E834" w:rsidR="00857FA3" w:rsidRDefault="00162358" w:rsidP="00A00AED">
          <w:pPr>
            <w:spacing w:before="100" w:beforeAutospacing="1" w:after="100" w:afterAutospacing="1"/>
            <w:jc w:val="right"/>
            <w:rPr>
              <w:noProof/>
              <w:u w:color="1A1A1A"/>
              <w:lang w:eastAsia="nl-NL"/>
            </w:rPr>
          </w:pPr>
          <w:r>
            <w:rPr>
              <w:noProof/>
              <w:u w:color="1A1A1A"/>
              <w:lang w:val="nl-NL" w:eastAsia="nl-NL"/>
            </w:rPr>
            <w:drawing>
              <wp:inline distT="0" distB="0" distL="0" distR="0" wp14:anchorId="1CBFF86C" wp14:editId="2BCEBE9E">
                <wp:extent cx="1451610" cy="755516"/>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fl logo.png"/>
                        <pic:cNvPicPr/>
                      </pic:nvPicPr>
                      <pic:blipFill>
                        <a:blip r:embed="rId2"/>
                        <a:stretch>
                          <a:fillRect/>
                        </a:stretch>
                      </pic:blipFill>
                      <pic:spPr>
                        <a:xfrm>
                          <a:off x="0" y="0"/>
                          <a:ext cx="1467618" cy="763848"/>
                        </a:xfrm>
                        <a:prstGeom prst="rect">
                          <a:avLst/>
                        </a:prstGeom>
                      </pic:spPr>
                    </pic:pic>
                  </a:graphicData>
                </a:graphic>
              </wp:inline>
            </w:drawing>
          </w:r>
        </w:p>
      </w:tc>
    </w:tr>
  </w:tbl>
  <w:p w14:paraId="1E4BCB61" w14:textId="77777777" w:rsidR="00857FA3" w:rsidRPr="00D44CB7" w:rsidRDefault="00857FA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E653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422F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320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604A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AA2A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6EF5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A82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2EF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24EC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D27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B397B"/>
    <w:multiLevelType w:val="hybridMultilevel"/>
    <w:tmpl w:val="19C4F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14141F6"/>
    <w:multiLevelType w:val="hybridMultilevel"/>
    <w:tmpl w:val="90F0A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2E"/>
    <w:rsid w:val="000135BA"/>
    <w:rsid w:val="000368B3"/>
    <w:rsid w:val="00060D01"/>
    <w:rsid w:val="00067457"/>
    <w:rsid w:val="000942B2"/>
    <w:rsid w:val="000944FD"/>
    <w:rsid w:val="000A46AA"/>
    <w:rsid w:val="000A7E36"/>
    <w:rsid w:val="000B5DCB"/>
    <w:rsid w:val="000D7BBD"/>
    <w:rsid w:val="000E27D1"/>
    <w:rsid w:val="00113DFB"/>
    <w:rsid w:val="00120DC0"/>
    <w:rsid w:val="00162358"/>
    <w:rsid w:val="00180885"/>
    <w:rsid w:val="001A223D"/>
    <w:rsid w:val="001A63F0"/>
    <w:rsid w:val="001B6951"/>
    <w:rsid w:val="001E024F"/>
    <w:rsid w:val="001F7B88"/>
    <w:rsid w:val="00215955"/>
    <w:rsid w:val="00224FB6"/>
    <w:rsid w:val="0024682E"/>
    <w:rsid w:val="002901BC"/>
    <w:rsid w:val="002A05E2"/>
    <w:rsid w:val="002A5816"/>
    <w:rsid w:val="002B1418"/>
    <w:rsid w:val="003063E3"/>
    <w:rsid w:val="0031140C"/>
    <w:rsid w:val="003131BF"/>
    <w:rsid w:val="00330CAC"/>
    <w:rsid w:val="00334977"/>
    <w:rsid w:val="0036458A"/>
    <w:rsid w:val="00367EF0"/>
    <w:rsid w:val="003A50BC"/>
    <w:rsid w:val="003A7D39"/>
    <w:rsid w:val="003B3C73"/>
    <w:rsid w:val="003C60A6"/>
    <w:rsid w:val="003D2255"/>
    <w:rsid w:val="003F472C"/>
    <w:rsid w:val="003F78DD"/>
    <w:rsid w:val="00400823"/>
    <w:rsid w:val="0040468A"/>
    <w:rsid w:val="004176C2"/>
    <w:rsid w:val="00427863"/>
    <w:rsid w:val="004447D8"/>
    <w:rsid w:val="004451EE"/>
    <w:rsid w:val="00445732"/>
    <w:rsid w:val="00467F0B"/>
    <w:rsid w:val="00484AED"/>
    <w:rsid w:val="004A1660"/>
    <w:rsid w:val="004C6AE8"/>
    <w:rsid w:val="004C6B0E"/>
    <w:rsid w:val="004D7D32"/>
    <w:rsid w:val="004E0DC6"/>
    <w:rsid w:val="004E1C56"/>
    <w:rsid w:val="005135CD"/>
    <w:rsid w:val="00544FA6"/>
    <w:rsid w:val="00563068"/>
    <w:rsid w:val="005661CE"/>
    <w:rsid w:val="005716F4"/>
    <w:rsid w:val="00573141"/>
    <w:rsid w:val="005A5956"/>
    <w:rsid w:val="005A6E38"/>
    <w:rsid w:val="005C2344"/>
    <w:rsid w:val="005D4942"/>
    <w:rsid w:val="006053EC"/>
    <w:rsid w:val="00632D66"/>
    <w:rsid w:val="00635644"/>
    <w:rsid w:val="00666ADB"/>
    <w:rsid w:val="00671410"/>
    <w:rsid w:val="00674D00"/>
    <w:rsid w:val="006824B3"/>
    <w:rsid w:val="0069201A"/>
    <w:rsid w:val="00692FB6"/>
    <w:rsid w:val="006A5C5A"/>
    <w:rsid w:val="006A6666"/>
    <w:rsid w:val="006A7DF4"/>
    <w:rsid w:val="006C02EE"/>
    <w:rsid w:val="007021EA"/>
    <w:rsid w:val="00703BDF"/>
    <w:rsid w:val="00707B4A"/>
    <w:rsid w:val="00710FF3"/>
    <w:rsid w:val="00713CA3"/>
    <w:rsid w:val="0072020B"/>
    <w:rsid w:val="00773AB1"/>
    <w:rsid w:val="00790BFE"/>
    <w:rsid w:val="007977D5"/>
    <w:rsid w:val="007D6208"/>
    <w:rsid w:val="008023F7"/>
    <w:rsid w:val="0081029C"/>
    <w:rsid w:val="008232A1"/>
    <w:rsid w:val="00840935"/>
    <w:rsid w:val="00855729"/>
    <w:rsid w:val="00857FA3"/>
    <w:rsid w:val="00863C0C"/>
    <w:rsid w:val="008728AC"/>
    <w:rsid w:val="008778A5"/>
    <w:rsid w:val="008A10EA"/>
    <w:rsid w:val="008A16D2"/>
    <w:rsid w:val="008A3BCA"/>
    <w:rsid w:val="008B0187"/>
    <w:rsid w:val="00917C10"/>
    <w:rsid w:val="009253AF"/>
    <w:rsid w:val="00931798"/>
    <w:rsid w:val="009377CF"/>
    <w:rsid w:val="00941D3F"/>
    <w:rsid w:val="0094240D"/>
    <w:rsid w:val="00953CC5"/>
    <w:rsid w:val="00956F42"/>
    <w:rsid w:val="00971855"/>
    <w:rsid w:val="0098229A"/>
    <w:rsid w:val="00982D9E"/>
    <w:rsid w:val="009833D1"/>
    <w:rsid w:val="009A4692"/>
    <w:rsid w:val="009A62D1"/>
    <w:rsid w:val="009B13B1"/>
    <w:rsid w:val="009C496C"/>
    <w:rsid w:val="009E1977"/>
    <w:rsid w:val="009E277F"/>
    <w:rsid w:val="009E46B6"/>
    <w:rsid w:val="00A00AED"/>
    <w:rsid w:val="00A45411"/>
    <w:rsid w:val="00A512C7"/>
    <w:rsid w:val="00A67076"/>
    <w:rsid w:val="00A84850"/>
    <w:rsid w:val="00A859CC"/>
    <w:rsid w:val="00A9160C"/>
    <w:rsid w:val="00AA60E6"/>
    <w:rsid w:val="00AB753A"/>
    <w:rsid w:val="00B0710A"/>
    <w:rsid w:val="00B07553"/>
    <w:rsid w:val="00B14CAF"/>
    <w:rsid w:val="00B258D3"/>
    <w:rsid w:val="00B4128E"/>
    <w:rsid w:val="00B71F86"/>
    <w:rsid w:val="00B737DA"/>
    <w:rsid w:val="00B86922"/>
    <w:rsid w:val="00B93DF7"/>
    <w:rsid w:val="00BA5D5D"/>
    <w:rsid w:val="00BB2C7F"/>
    <w:rsid w:val="00BB4694"/>
    <w:rsid w:val="00BC7C76"/>
    <w:rsid w:val="00BD3B0E"/>
    <w:rsid w:val="00BE525D"/>
    <w:rsid w:val="00BF1B62"/>
    <w:rsid w:val="00BF1C1B"/>
    <w:rsid w:val="00C10D86"/>
    <w:rsid w:val="00C236EF"/>
    <w:rsid w:val="00C42630"/>
    <w:rsid w:val="00C4679E"/>
    <w:rsid w:val="00C47AFE"/>
    <w:rsid w:val="00C7092F"/>
    <w:rsid w:val="00C96287"/>
    <w:rsid w:val="00CA69E4"/>
    <w:rsid w:val="00CB28F4"/>
    <w:rsid w:val="00CD691B"/>
    <w:rsid w:val="00CD6A9B"/>
    <w:rsid w:val="00CF4557"/>
    <w:rsid w:val="00D14A7A"/>
    <w:rsid w:val="00D17664"/>
    <w:rsid w:val="00D27F4B"/>
    <w:rsid w:val="00D41D41"/>
    <w:rsid w:val="00D44CB7"/>
    <w:rsid w:val="00D53ECD"/>
    <w:rsid w:val="00D57E92"/>
    <w:rsid w:val="00D629C8"/>
    <w:rsid w:val="00D70883"/>
    <w:rsid w:val="00D71A0F"/>
    <w:rsid w:val="00D812B5"/>
    <w:rsid w:val="00D915B5"/>
    <w:rsid w:val="00DC6019"/>
    <w:rsid w:val="00DC71EA"/>
    <w:rsid w:val="00DD08ED"/>
    <w:rsid w:val="00DD3B07"/>
    <w:rsid w:val="00DE656D"/>
    <w:rsid w:val="00DF2CA3"/>
    <w:rsid w:val="00E0308A"/>
    <w:rsid w:val="00E054E4"/>
    <w:rsid w:val="00E27439"/>
    <w:rsid w:val="00E47C15"/>
    <w:rsid w:val="00E51112"/>
    <w:rsid w:val="00E72376"/>
    <w:rsid w:val="00E81CBB"/>
    <w:rsid w:val="00EB3308"/>
    <w:rsid w:val="00EC5C45"/>
    <w:rsid w:val="00ED04BF"/>
    <w:rsid w:val="00EE5993"/>
    <w:rsid w:val="00EF0856"/>
    <w:rsid w:val="00F1087F"/>
    <w:rsid w:val="00F51102"/>
    <w:rsid w:val="00F54634"/>
    <w:rsid w:val="00F65C2F"/>
    <w:rsid w:val="00F91686"/>
    <w:rsid w:val="00F95B07"/>
    <w:rsid w:val="00FA7454"/>
    <w:rsid w:val="00FB461E"/>
    <w:rsid w:val="00FB5CE2"/>
    <w:rsid w:val="00FD0A02"/>
    <w:rsid w:val="00FD482C"/>
    <w:rsid w:val="00FD6D01"/>
    <w:rsid w:val="00FF14F4"/>
    <w:rsid w:val="00FF566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16CA29"/>
  <w15:docId w15:val="{A9FA7084-31D9-4329-924E-A23C7713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65C2F"/>
    <w:rPr>
      <w:sz w:val="24"/>
      <w:szCs w:val="24"/>
      <w:lang w:val="en-US" w:eastAsia="en-US"/>
    </w:rPr>
  </w:style>
  <w:style w:type="paragraph" w:styleId="Heading1">
    <w:name w:val="heading 1"/>
    <w:basedOn w:val="Normal"/>
    <w:next w:val="Normal"/>
    <w:link w:val="Heading1Char"/>
    <w:uiPriority w:val="9"/>
    <w:qFormat/>
    <w:rsid w:val="00C4679E"/>
    <w:pPr>
      <w:keepNext/>
      <w:keepLines/>
      <w:spacing w:before="240"/>
      <w:outlineLvl w:val="0"/>
    </w:pPr>
    <w:rPr>
      <w:rFonts w:ascii="Calibri" w:eastAsiaTheme="majorEastAsia" w:hAnsi="Calibri" w:cstheme="majorBidi"/>
      <w:b/>
      <w:caps/>
      <w:sz w:val="36"/>
      <w:szCs w:val="32"/>
    </w:rPr>
  </w:style>
  <w:style w:type="paragraph" w:styleId="Heading2">
    <w:name w:val="heading 2"/>
    <w:basedOn w:val="Normal"/>
    <w:link w:val="Heading2Char"/>
    <w:uiPriority w:val="9"/>
    <w:qFormat/>
    <w:rsid w:val="003349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nl-NL" w:eastAsia="nl-NL"/>
    </w:rPr>
  </w:style>
  <w:style w:type="paragraph" w:styleId="Heading3">
    <w:name w:val="heading 3"/>
    <w:basedOn w:val="Normal"/>
    <w:next w:val="Normal"/>
    <w:link w:val="Heading3Char"/>
    <w:uiPriority w:val="9"/>
    <w:unhideWhenUsed/>
    <w:qFormat/>
    <w:rsid w:val="00C4679E"/>
    <w:pPr>
      <w:keepNext/>
      <w:keepLines/>
      <w:spacing w:before="160" w:after="120"/>
      <w:outlineLvl w:val="2"/>
    </w:pPr>
    <w:rPr>
      <w:rFonts w:ascii="Calibri" w:eastAsiaTheme="majorEastAsia" w:hAnsi="Calibri" w:cstheme="majorBidi"/>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C2F"/>
    <w:rPr>
      <w:color w:val="0070C0"/>
      <w:u w:val="single"/>
    </w:rPr>
  </w:style>
  <w:style w:type="paragraph" w:customStyle="1" w:styleId="Body">
    <w:name w:val="Body"/>
    <w:link w:val="BodyChar"/>
    <w:rPr>
      <w:rFonts w:ascii="Helvetica" w:hAnsi="Arial Unicode MS" w:cs="Arial Unicode MS"/>
      <w:color w:val="000000"/>
      <w:sz w:val="22"/>
      <w:szCs w:val="22"/>
    </w:rPr>
  </w:style>
  <w:style w:type="paragraph" w:styleId="Header">
    <w:name w:val="header"/>
    <w:basedOn w:val="Normal"/>
    <w:link w:val="HeaderChar"/>
    <w:uiPriority w:val="99"/>
    <w:unhideWhenUsed/>
    <w:rsid w:val="00710FF3"/>
    <w:pPr>
      <w:tabs>
        <w:tab w:val="center" w:pos="4513"/>
        <w:tab w:val="right" w:pos="9026"/>
      </w:tabs>
    </w:pPr>
  </w:style>
  <w:style w:type="character" w:customStyle="1" w:styleId="HeaderChar">
    <w:name w:val="Header Char"/>
    <w:basedOn w:val="DefaultParagraphFont"/>
    <w:link w:val="Header"/>
    <w:uiPriority w:val="99"/>
    <w:rsid w:val="00710FF3"/>
    <w:rPr>
      <w:sz w:val="24"/>
      <w:szCs w:val="24"/>
      <w:lang w:val="en-US" w:eastAsia="en-US"/>
    </w:rPr>
  </w:style>
  <w:style w:type="paragraph" w:styleId="Footer">
    <w:name w:val="footer"/>
    <w:basedOn w:val="Normal"/>
    <w:link w:val="FooterChar"/>
    <w:uiPriority w:val="99"/>
    <w:unhideWhenUsed/>
    <w:rsid w:val="00710FF3"/>
    <w:pPr>
      <w:tabs>
        <w:tab w:val="center" w:pos="4513"/>
        <w:tab w:val="right" w:pos="9026"/>
      </w:tabs>
    </w:pPr>
  </w:style>
  <w:style w:type="character" w:customStyle="1" w:styleId="FooterChar">
    <w:name w:val="Footer Char"/>
    <w:basedOn w:val="DefaultParagraphFont"/>
    <w:link w:val="Footer"/>
    <w:uiPriority w:val="99"/>
    <w:rsid w:val="00710FF3"/>
    <w:rPr>
      <w:sz w:val="24"/>
      <w:szCs w:val="24"/>
      <w:lang w:val="en-US" w:eastAsia="en-US"/>
    </w:rPr>
  </w:style>
  <w:style w:type="paragraph" w:styleId="BalloonText">
    <w:name w:val="Balloon Text"/>
    <w:basedOn w:val="Normal"/>
    <w:link w:val="BalloonTextChar"/>
    <w:uiPriority w:val="99"/>
    <w:semiHidden/>
    <w:unhideWhenUsed/>
    <w:rsid w:val="00710FF3"/>
    <w:rPr>
      <w:rFonts w:ascii="Tahoma" w:hAnsi="Tahoma" w:cs="Tahoma"/>
      <w:sz w:val="16"/>
      <w:szCs w:val="16"/>
    </w:rPr>
  </w:style>
  <w:style w:type="character" w:customStyle="1" w:styleId="BalloonTextChar">
    <w:name w:val="Balloon Text Char"/>
    <w:basedOn w:val="DefaultParagraphFont"/>
    <w:link w:val="BalloonText"/>
    <w:uiPriority w:val="99"/>
    <w:semiHidden/>
    <w:rsid w:val="00710FF3"/>
    <w:rPr>
      <w:rFonts w:ascii="Tahoma" w:hAnsi="Tahoma" w:cs="Tahoma"/>
      <w:sz w:val="16"/>
      <w:szCs w:val="16"/>
      <w:lang w:val="en-US" w:eastAsia="en-US"/>
    </w:rPr>
  </w:style>
  <w:style w:type="table" w:styleId="TableGrid">
    <w:name w:val="Table Grid"/>
    <w:basedOn w:val="TableNormal"/>
    <w:uiPriority w:val="59"/>
    <w:rsid w:val="00710FF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0FF3"/>
    <w:rPr>
      <w:sz w:val="20"/>
      <w:szCs w:val="20"/>
    </w:rPr>
  </w:style>
  <w:style w:type="character" w:customStyle="1" w:styleId="FootnoteTextChar">
    <w:name w:val="Footnote Text Char"/>
    <w:basedOn w:val="DefaultParagraphFont"/>
    <w:link w:val="FootnoteText"/>
    <w:uiPriority w:val="99"/>
    <w:rsid w:val="00710FF3"/>
    <w:rPr>
      <w:lang w:val="en-US" w:eastAsia="en-US"/>
    </w:rPr>
  </w:style>
  <w:style w:type="character" w:styleId="FootnoteReference">
    <w:name w:val="footnote reference"/>
    <w:basedOn w:val="DefaultParagraphFont"/>
    <w:uiPriority w:val="99"/>
    <w:unhideWhenUsed/>
    <w:rsid w:val="00710FF3"/>
    <w:rPr>
      <w:vertAlign w:val="superscript"/>
    </w:rPr>
  </w:style>
  <w:style w:type="character" w:styleId="CommentReference">
    <w:name w:val="annotation reference"/>
    <w:basedOn w:val="DefaultParagraphFont"/>
    <w:uiPriority w:val="99"/>
    <w:semiHidden/>
    <w:unhideWhenUsed/>
    <w:rsid w:val="00710FF3"/>
    <w:rPr>
      <w:sz w:val="16"/>
      <w:szCs w:val="16"/>
    </w:rPr>
  </w:style>
  <w:style w:type="paragraph" w:styleId="CommentText">
    <w:name w:val="annotation text"/>
    <w:basedOn w:val="Normal"/>
    <w:link w:val="CommentTextChar"/>
    <w:uiPriority w:val="99"/>
    <w:semiHidden/>
    <w:unhideWhenUsed/>
    <w:rsid w:val="00710FF3"/>
    <w:rPr>
      <w:sz w:val="20"/>
      <w:szCs w:val="20"/>
    </w:rPr>
  </w:style>
  <w:style w:type="character" w:customStyle="1" w:styleId="CommentTextChar">
    <w:name w:val="Comment Text Char"/>
    <w:basedOn w:val="DefaultParagraphFont"/>
    <w:link w:val="CommentText"/>
    <w:uiPriority w:val="99"/>
    <w:semiHidden/>
    <w:rsid w:val="00710FF3"/>
    <w:rPr>
      <w:lang w:val="en-US" w:eastAsia="en-US"/>
    </w:rPr>
  </w:style>
  <w:style w:type="paragraph" w:styleId="CommentSubject">
    <w:name w:val="annotation subject"/>
    <w:basedOn w:val="CommentText"/>
    <w:next w:val="CommentText"/>
    <w:link w:val="CommentSubjectChar"/>
    <w:uiPriority w:val="99"/>
    <w:semiHidden/>
    <w:unhideWhenUsed/>
    <w:rsid w:val="00710FF3"/>
    <w:rPr>
      <w:b/>
      <w:bCs/>
    </w:rPr>
  </w:style>
  <w:style w:type="character" w:customStyle="1" w:styleId="CommentSubjectChar">
    <w:name w:val="Comment Subject Char"/>
    <w:basedOn w:val="CommentTextChar"/>
    <w:link w:val="CommentSubject"/>
    <w:uiPriority w:val="99"/>
    <w:semiHidden/>
    <w:rsid w:val="00710FF3"/>
    <w:rPr>
      <w:b/>
      <w:bCs/>
      <w:lang w:val="en-US" w:eastAsia="en-US"/>
    </w:rPr>
  </w:style>
  <w:style w:type="paragraph" w:styleId="Revision">
    <w:name w:val="Revision"/>
    <w:hidden/>
    <w:uiPriority w:val="99"/>
    <w:semiHidden/>
    <w:rsid w:val="007021E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2Char">
    <w:name w:val="Heading 2 Char"/>
    <w:basedOn w:val="DefaultParagraphFont"/>
    <w:link w:val="Heading2"/>
    <w:uiPriority w:val="9"/>
    <w:rsid w:val="00334977"/>
    <w:rPr>
      <w:rFonts w:eastAsia="Times New Roman"/>
      <w:b/>
      <w:bCs/>
      <w:sz w:val="36"/>
      <w:szCs w:val="36"/>
      <w:bdr w:val="none" w:sz="0" w:space="0" w:color="auto"/>
    </w:rPr>
  </w:style>
  <w:style w:type="paragraph" w:styleId="NormalWeb">
    <w:name w:val="Normal (Web)"/>
    <w:basedOn w:val="Normal"/>
    <w:uiPriority w:val="99"/>
    <w:semiHidden/>
    <w:unhideWhenUsed/>
    <w:rsid w:val="003349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NL" w:eastAsia="nl-NL"/>
    </w:rPr>
  </w:style>
  <w:style w:type="character" w:customStyle="1" w:styleId="apple-converted-space">
    <w:name w:val="apple-converted-space"/>
    <w:basedOn w:val="DefaultParagraphFont"/>
    <w:rsid w:val="00334977"/>
  </w:style>
  <w:style w:type="character" w:styleId="Strong">
    <w:name w:val="Strong"/>
    <w:basedOn w:val="DefaultParagraphFont"/>
    <w:uiPriority w:val="22"/>
    <w:qFormat/>
    <w:rsid w:val="00334977"/>
    <w:rPr>
      <w:b/>
      <w:bCs/>
    </w:rPr>
  </w:style>
  <w:style w:type="paragraph" w:styleId="ListParagraph">
    <w:name w:val="List Paragraph"/>
    <w:basedOn w:val="Normal"/>
    <w:uiPriority w:val="34"/>
    <w:qFormat/>
    <w:rsid w:val="00427863"/>
    <w:pPr>
      <w:ind w:left="720"/>
      <w:contextualSpacing/>
    </w:pPr>
  </w:style>
  <w:style w:type="character" w:customStyle="1" w:styleId="Heading1Char">
    <w:name w:val="Heading 1 Char"/>
    <w:basedOn w:val="DefaultParagraphFont"/>
    <w:link w:val="Heading1"/>
    <w:uiPriority w:val="9"/>
    <w:rsid w:val="00C4679E"/>
    <w:rPr>
      <w:rFonts w:ascii="Calibri" w:eastAsiaTheme="majorEastAsia" w:hAnsi="Calibri" w:cstheme="majorBidi"/>
      <w:b/>
      <w:caps/>
      <w:sz w:val="36"/>
      <w:szCs w:val="32"/>
      <w:lang w:val="en-US" w:eastAsia="en-US"/>
    </w:rPr>
  </w:style>
  <w:style w:type="paragraph" w:customStyle="1" w:styleId="Footnote">
    <w:name w:val="Footnote"/>
    <w:basedOn w:val="FootnoteText"/>
    <w:link w:val="FootnoteChar"/>
    <w:qFormat/>
    <w:rsid w:val="00067457"/>
    <w:rPr>
      <w:rFonts w:ascii="Calibri" w:hAnsi="Calibri" w:cs="Arial"/>
      <w:sz w:val="18"/>
      <w:szCs w:val="18"/>
      <w:shd w:val="clear" w:color="auto" w:fill="FFFFFF"/>
    </w:rPr>
  </w:style>
  <w:style w:type="paragraph" w:customStyle="1" w:styleId="Text">
    <w:name w:val="Text"/>
    <w:basedOn w:val="Body"/>
    <w:link w:val="TextChar"/>
    <w:qFormat/>
    <w:rsid w:val="0031140C"/>
    <w:pPr>
      <w:spacing w:after="120"/>
      <w:jc w:val="both"/>
    </w:pPr>
    <w:rPr>
      <w:rFonts w:ascii="Calibri" w:hAnsi="Calibri"/>
      <w:lang w:val="en-US"/>
    </w:rPr>
  </w:style>
  <w:style w:type="character" w:customStyle="1" w:styleId="FootnoteChar">
    <w:name w:val="Footnote Char"/>
    <w:basedOn w:val="FootnoteTextChar"/>
    <w:link w:val="Footnote"/>
    <w:rsid w:val="00067457"/>
    <w:rPr>
      <w:rFonts w:ascii="Calibri" w:hAnsi="Calibri" w:cs="Arial"/>
      <w:sz w:val="18"/>
      <w:szCs w:val="18"/>
      <w:lang w:val="en-US" w:eastAsia="en-US"/>
    </w:rPr>
  </w:style>
  <w:style w:type="character" w:customStyle="1" w:styleId="Heading3Char">
    <w:name w:val="Heading 3 Char"/>
    <w:basedOn w:val="DefaultParagraphFont"/>
    <w:link w:val="Heading3"/>
    <w:uiPriority w:val="9"/>
    <w:rsid w:val="00C4679E"/>
    <w:rPr>
      <w:rFonts w:ascii="Calibri" w:eastAsiaTheme="majorEastAsia" w:hAnsi="Calibri" w:cstheme="majorBidi"/>
      <w:b/>
      <w:caps/>
      <w:sz w:val="22"/>
      <w:szCs w:val="24"/>
      <w:lang w:val="en-US" w:eastAsia="en-US"/>
    </w:rPr>
  </w:style>
  <w:style w:type="character" w:customStyle="1" w:styleId="BodyChar">
    <w:name w:val="Body Char"/>
    <w:basedOn w:val="DefaultParagraphFont"/>
    <w:link w:val="Body"/>
    <w:rsid w:val="00067457"/>
    <w:rPr>
      <w:rFonts w:ascii="Helvetica" w:hAnsi="Arial Unicode MS" w:cs="Arial Unicode MS"/>
      <w:color w:val="000000"/>
      <w:sz w:val="22"/>
      <w:szCs w:val="22"/>
    </w:rPr>
  </w:style>
  <w:style w:type="character" w:customStyle="1" w:styleId="TextChar">
    <w:name w:val="Text Char"/>
    <w:basedOn w:val="BodyChar"/>
    <w:link w:val="Text"/>
    <w:rsid w:val="0031140C"/>
    <w:rPr>
      <w:rFonts w:ascii="Calibri" w:hAnsi="Calibri" w:cs="Arial Unicode MS"/>
      <w:color w:val="000000"/>
      <w:sz w:val="22"/>
      <w:szCs w:val="22"/>
      <w:lang w:val="en-US"/>
    </w:rPr>
  </w:style>
  <w:style w:type="paragraph" w:customStyle="1" w:styleId="paragraph">
    <w:name w:val="paragraph"/>
    <w:basedOn w:val="Normal"/>
    <w:rsid w:val="003114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NL" w:eastAsia="nl-NL"/>
    </w:rPr>
  </w:style>
  <w:style w:type="character" w:customStyle="1" w:styleId="eop">
    <w:name w:val="eop"/>
    <w:basedOn w:val="DefaultParagraphFont"/>
    <w:rsid w:val="0031140C"/>
  </w:style>
  <w:style w:type="paragraph" w:styleId="NoSpacing">
    <w:name w:val="No Spacing"/>
    <w:uiPriority w:val="1"/>
    <w:qFormat/>
    <w:rsid w:val="00B0710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normaltextrun">
    <w:name w:val="normaltextrun"/>
    <w:basedOn w:val="DefaultParagraphFont"/>
    <w:rsid w:val="00B0710A"/>
  </w:style>
  <w:style w:type="character" w:customStyle="1" w:styleId="personname">
    <w:name w:val="person_name"/>
    <w:basedOn w:val="DefaultParagraphFont"/>
    <w:rsid w:val="00B0710A"/>
  </w:style>
  <w:style w:type="character" w:styleId="Emphasis">
    <w:name w:val="Emphasis"/>
    <w:basedOn w:val="DefaultParagraphFont"/>
    <w:uiPriority w:val="20"/>
    <w:qFormat/>
    <w:rsid w:val="00B0710A"/>
    <w:rPr>
      <w:i/>
      <w:iCs/>
    </w:rPr>
  </w:style>
  <w:style w:type="paragraph" w:styleId="PlainText">
    <w:name w:val="Plain Text"/>
    <w:basedOn w:val="Normal"/>
    <w:link w:val="PlainTextChar"/>
    <w:uiPriority w:val="99"/>
    <w:unhideWhenUsed/>
    <w:rsid w:val="00E054E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nl-NL"/>
    </w:rPr>
  </w:style>
  <w:style w:type="character" w:customStyle="1" w:styleId="PlainTextChar">
    <w:name w:val="Plain Text Char"/>
    <w:basedOn w:val="DefaultParagraphFont"/>
    <w:link w:val="PlainText"/>
    <w:uiPriority w:val="99"/>
    <w:rsid w:val="00E054E4"/>
    <w:rPr>
      <w:rFonts w:ascii="Calibri" w:eastAsiaTheme="minorHAnsi" w:hAnsi="Calibri" w:cstheme="minorBidi"/>
      <w:sz w:val="22"/>
      <w:szCs w:val="21"/>
      <w:bdr w:val="none" w:sz="0" w:space="0" w:color="auto"/>
      <w:lang w:eastAsia="en-US"/>
    </w:rPr>
  </w:style>
  <w:style w:type="character" w:customStyle="1" w:styleId="caps">
    <w:name w:val="caps"/>
    <w:basedOn w:val="DefaultParagraphFont"/>
    <w:rsid w:val="003C60A6"/>
  </w:style>
  <w:style w:type="character" w:styleId="FollowedHyperlink">
    <w:name w:val="FollowedHyperlink"/>
    <w:basedOn w:val="DefaultParagraphFont"/>
    <w:uiPriority w:val="99"/>
    <w:unhideWhenUsed/>
    <w:rsid w:val="00F65C2F"/>
    <w:rPr>
      <w:color w:val="0070C0"/>
      <w:u w:val="single"/>
    </w:rPr>
  </w:style>
  <w:style w:type="paragraph" w:styleId="EndnoteText">
    <w:name w:val="endnote text"/>
    <w:basedOn w:val="Normal"/>
    <w:link w:val="EndnoteTextChar"/>
    <w:uiPriority w:val="99"/>
    <w:semiHidden/>
    <w:unhideWhenUsed/>
    <w:rsid w:val="00EE5993"/>
    <w:rPr>
      <w:sz w:val="20"/>
      <w:szCs w:val="20"/>
    </w:rPr>
  </w:style>
  <w:style w:type="character" w:customStyle="1" w:styleId="EndnoteTextChar">
    <w:name w:val="Endnote Text Char"/>
    <w:basedOn w:val="DefaultParagraphFont"/>
    <w:link w:val="EndnoteText"/>
    <w:uiPriority w:val="99"/>
    <w:semiHidden/>
    <w:rsid w:val="00EE5993"/>
    <w:rPr>
      <w:lang w:val="en-US" w:eastAsia="en-US"/>
    </w:rPr>
  </w:style>
  <w:style w:type="character" w:styleId="EndnoteReference">
    <w:name w:val="endnote reference"/>
    <w:basedOn w:val="DefaultParagraphFont"/>
    <w:uiPriority w:val="99"/>
    <w:semiHidden/>
    <w:unhideWhenUsed/>
    <w:rsid w:val="00EE5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45847">
      <w:bodyDiv w:val="1"/>
      <w:marLeft w:val="0"/>
      <w:marRight w:val="0"/>
      <w:marTop w:val="0"/>
      <w:marBottom w:val="0"/>
      <w:divBdr>
        <w:top w:val="none" w:sz="0" w:space="0" w:color="auto"/>
        <w:left w:val="none" w:sz="0" w:space="0" w:color="auto"/>
        <w:bottom w:val="none" w:sz="0" w:space="0" w:color="auto"/>
        <w:right w:val="none" w:sz="0" w:space="0" w:color="auto"/>
      </w:divBdr>
    </w:div>
    <w:div w:id="719942629">
      <w:bodyDiv w:val="1"/>
      <w:marLeft w:val="0"/>
      <w:marRight w:val="0"/>
      <w:marTop w:val="0"/>
      <w:marBottom w:val="0"/>
      <w:divBdr>
        <w:top w:val="none" w:sz="0" w:space="0" w:color="auto"/>
        <w:left w:val="none" w:sz="0" w:space="0" w:color="auto"/>
        <w:bottom w:val="none" w:sz="0" w:space="0" w:color="auto"/>
        <w:right w:val="none" w:sz="0" w:space="0" w:color="auto"/>
      </w:divBdr>
      <w:divsChild>
        <w:div w:id="467820585">
          <w:marLeft w:val="0"/>
          <w:marRight w:val="0"/>
          <w:marTop w:val="0"/>
          <w:marBottom w:val="0"/>
          <w:divBdr>
            <w:top w:val="none" w:sz="0" w:space="0" w:color="auto"/>
            <w:left w:val="none" w:sz="0" w:space="0" w:color="auto"/>
            <w:bottom w:val="none" w:sz="0" w:space="0" w:color="auto"/>
            <w:right w:val="none" w:sz="0" w:space="0" w:color="auto"/>
          </w:divBdr>
          <w:divsChild>
            <w:div w:id="2149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2315">
      <w:bodyDiv w:val="1"/>
      <w:marLeft w:val="0"/>
      <w:marRight w:val="0"/>
      <w:marTop w:val="0"/>
      <w:marBottom w:val="0"/>
      <w:divBdr>
        <w:top w:val="none" w:sz="0" w:space="0" w:color="auto"/>
        <w:left w:val="none" w:sz="0" w:space="0" w:color="auto"/>
        <w:bottom w:val="none" w:sz="0" w:space="0" w:color="auto"/>
        <w:right w:val="none" w:sz="0" w:space="0" w:color="auto"/>
      </w:divBdr>
      <w:divsChild>
        <w:div w:id="431978830">
          <w:marLeft w:val="0"/>
          <w:marRight w:val="0"/>
          <w:marTop w:val="0"/>
          <w:marBottom w:val="0"/>
          <w:divBdr>
            <w:top w:val="none" w:sz="0" w:space="0" w:color="auto"/>
            <w:left w:val="none" w:sz="0" w:space="0" w:color="auto"/>
            <w:bottom w:val="none" w:sz="0" w:space="0" w:color="auto"/>
            <w:right w:val="none" w:sz="0" w:space="0" w:color="auto"/>
          </w:divBdr>
        </w:div>
        <w:div w:id="1508400990">
          <w:marLeft w:val="0"/>
          <w:marRight w:val="0"/>
          <w:marTop w:val="0"/>
          <w:marBottom w:val="0"/>
          <w:divBdr>
            <w:top w:val="none" w:sz="0" w:space="0" w:color="auto"/>
            <w:left w:val="none" w:sz="0" w:space="0" w:color="auto"/>
            <w:bottom w:val="none" w:sz="0" w:space="0" w:color="auto"/>
            <w:right w:val="none" w:sz="0" w:space="0" w:color="auto"/>
          </w:divBdr>
        </w:div>
        <w:div w:id="714550794">
          <w:marLeft w:val="0"/>
          <w:marRight w:val="0"/>
          <w:marTop w:val="0"/>
          <w:marBottom w:val="0"/>
          <w:divBdr>
            <w:top w:val="none" w:sz="0" w:space="0" w:color="auto"/>
            <w:left w:val="none" w:sz="0" w:space="0" w:color="auto"/>
            <w:bottom w:val="none" w:sz="0" w:space="0" w:color="auto"/>
            <w:right w:val="none" w:sz="0" w:space="0" w:color="auto"/>
          </w:divBdr>
        </w:div>
        <w:div w:id="1045254258">
          <w:marLeft w:val="0"/>
          <w:marRight w:val="0"/>
          <w:marTop w:val="0"/>
          <w:marBottom w:val="0"/>
          <w:divBdr>
            <w:top w:val="none" w:sz="0" w:space="0" w:color="auto"/>
            <w:left w:val="none" w:sz="0" w:space="0" w:color="auto"/>
            <w:bottom w:val="none" w:sz="0" w:space="0" w:color="auto"/>
            <w:right w:val="none" w:sz="0" w:space="0" w:color="auto"/>
          </w:divBdr>
        </w:div>
        <w:div w:id="1299143811">
          <w:marLeft w:val="0"/>
          <w:marRight w:val="0"/>
          <w:marTop w:val="0"/>
          <w:marBottom w:val="0"/>
          <w:divBdr>
            <w:top w:val="none" w:sz="0" w:space="0" w:color="auto"/>
            <w:left w:val="none" w:sz="0" w:space="0" w:color="auto"/>
            <w:bottom w:val="none" w:sz="0" w:space="0" w:color="auto"/>
            <w:right w:val="none" w:sz="0" w:space="0" w:color="auto"/>
          </w:divBdr>
        </w:div>
      </w:divsChild>
    </w:div>
    <w:div w:id="1275016866">
      <w:bodyDiv w:val="1"/>
      <w:marLeft w:val="0"/>
      <w:marRight w:val="0"/>
      <w:marTop w:val="0"/>
      <w:marBottom w:val="0"/>
      <w:divBdr>
        <w:top w:val="none" w:sz="0" w:space="0" w:color="auto"/>
        <w:left w:val="none" w:sz="0" w:space="0" w:color="auto"/>
        <w:bottom w:val="none" w:sz="0" w:space="0" w:color="auto"/>
        <w:right w:val="none" w:sz="0" w:space="0" w:color="auto"/>
      </w:divBdr>
    </w:div>
    <w:div w:id="1365443458">
      <w:bodyDiv w:val="1"/>
      <w:marLeft w:val="0"/>
      <w:marRight w:val="0"/>
      <w:marTop w:val="0"/>
      <w:marBottom w:val="0"/>
      <w:divBdr>
        <w:top w:val="none" w:sz="0" w:space="0" w:color="auto"/>
        <w:left w:val="none" w:sz="0" w:space="0" w:color="auto"/>
        <w:bottom w:val="none" w:sz="0" w:space="0" w:color="auto"/>
        <w:right w:val="none" w:sz="0" w:space="0" w:color="auto"/>
      </w:divBdr>
      <w:divsChild>
        <w:div w:id="1142190194">
          <w:marLeft w:val="0"/>
          <w:marRight w:val="0"/>
          <w:marTop w:val="0"/>
          <w:marBottom w:val="0"/>
          <w:divBdr>
            <w:top w:val="none" w:sz="0" w:space="0" w:color="auto"/>
            <w:left w:val="none" w:sz="0" w:space="0" w:color="auto"/>
            <w:bottom w:val="none" w:sz="0" w:space="0" w:color="auto"/>
            <w:right w:val="none" w:sz="0" w:space="0" w:color="auto"/>
          </w:divBdr>
        </w:div>
        <w:div w:id="27490166">
          <w:marLeft w:val="0"/>
          <w:marRight w:val="0"/>
          <w:marTop w:val="0"/>
          <w:marBottom w:val="0"/>
          <w:divBdr>
            <w:top w:val="none" w:sz="0" w:space="0" w:color="auto"/>
            <w:left w:val="none" w:sz="0" w:space="0" w:color="auto"/>
            <w:bottom w:val="none" w:sz="0" w:space="0" w:color="auto"/>
            <w:right w:val="none" w:sz="0" w:space="0" w:color="auto"/>
          </w:divBdr>
        </w:div>
        <w:div w:id="174078478">
          <w:marLeft w:val="0"/>
          <w:marRight w:val="0"/>
          <w:marTop w:val="0"/>
          <w:marBottom w:val="0"/>
          <w:divBdr>
            <w:top w:val="none" w:sz="0" w:space="0" w:color="auto"/>
            <w:left w:val="none" w:sz="0" w:space="0" w:color="auto"/>
            <w:bottom w:val="none" w:sz="0" w:space="0" w:color="auto"/>
            <w:right w:val="none" w:sz="0" w:space="0" w:color="auto"/>
          </w:divBdr>
        </w:div>
        <w:div w:id="1107119309">
          <w:marLeft w:val="0"/>
          <w:marRight w:val="0"/>
          <w:marTop w:val="0"/>
          <w:marBottom w:val="0"/>
          <w:divBdr>
            <w:top w:val="none" w:sz="0" w:space="0" w:color="auto"/>
            <w:left w:val="none" w:sz="0" w:space="0" w:color="auto"/>
            <w:bottom w:val="none" w:sz="0" w:space="0" w:color="auto"/>
            <w:right w:val="none" w:sz="0" w:space="0" w:color="auto"/>
          </w:divBdr>
        </w:div>
        <w:div w:id="1753579241">
          <w:marLeft w:val="0"/>
          <w:marRight w:val="0"/>
          <w:marTop w:val="0"/>
          <w:marBottom w:val="0"/>
          <w:divBdr>
            <w:top w:val="none" w:sz="0" w:space="0" w:color="auto"/>
            <w:left w:val="none" w:sz="0" w:space="0" w:color="auto"/>
            <w:bottom w:val="none" w:sz="0" w:space="0" w:color="auto"/>
            <w:right w:val="none" w:sz="0" w:space="0" w:color="auto"/>
          </w:divBdr>
        </w:div>
      </w:divsChild>
    </w:div>
    <w:div w:id="1471435502">
      <w:bodyDiv w:val="1"/>
      <w:marLeft w:val="0"/>
      <w:marRight w:val="0"/>
      <w:marTop w:val="0"/>
      <w:marBottom w:val="0"/>
      <w:divBdr>
        <w:top w:val="none" w:sz="0" w:space="0" w:color="auto"/>
        <w:left w:val="none" w:sz="0" w:space="0" w:color="auto"/>
        <w:bottom w:val="none" w:sz="0" w:space="0" w:color="auto"/>
        <w:right w:val="none" w:sz="0" w:space="0" w:color="auto"/>
      </w:divBdr>
      <w:divsChild>
        <w:div w:id="1365791126">
          <w:marLeft w:val="0"/>
          <w:marRight w:val="0"/>
          <w:marTop w:val="0"/>
          <w:marBottom w:val="0"/>
          <w:divBdr>
            <w:top w:val="none" w:sz="0" w:space="0" w:color="auto"/>
            <w:left w:val="none" w:sz="0" w:space="0" w:color="auto"/>
            <w:bottom w:val="none" w:sz="0" w:space="0" w:color="auto"/>
            <w:right w:val="none" w:sz="0" w:space="0" w:color="auto"/>
          </w:divBdr>
        </w:div>
        <w:div w:id="283314101">
          <w:marLeft w:val="0"/>
          <w:marRight w:val="0"/>
          <w:marTop w:val="0"/>
          <w:marBottom w:val="0"/>
          <w:divBdr>
            <w:top w:val="none" w:sz="0" w:space="0" w:color="auto"/>
            <w:left w:val="none" w:sz="0" w:space="0" w:color="auto"/>
            <w:bottom w:val="none" w:sz="0" w:space="0" w:color="auto"/>
            <w:right w:val="none" w:sz="0" w:space="0" w:color="auto"/>
          </w:divBdr>
        </w:div>
        <w:div w:id="636765745">
          <w:marLeft w:val="0"/>
          <w:marRight w:val="0"/>
          <w:marTop w:val="0"/>
          <w:marBottom w:val="0"/>
          <w:divBdr>
            <w:top w:val="none" w:sz="0" w:space="0" w:color="auto"/>
            <w:left w:val="none" w:sz="0" w:space="0" w:color="auto"/>
            <w:bottom w:val="none" w:sz="0" w:space="0" w:color="auto"/>
            <w:right w:val="none" w:sz="0" w:space="0" w:color="auto"/>
          </w:divBdr>
        </w:div>
      </w:divsChild>
    </w:div>
    <w:div w:id="1534003207">
      <w:bodyDiv w:val="1"/>
      <w:marLeft w:val="0"/>
      <w:marRight w:val="0"/>
      <w:marTop w:val="0"/>
      <w:marBottom w:val="0"/>
      <w:divBdr>
        <w:top w:val="none" w:sz="0" w:space="0" w:color="auto"/>
        <w:left w:val="none" w:sz="0" w:space="0" w:color="auto"/>
        <w:bottom w:val="none" w:sz="0" w:space="0" w:color="auto"/>
        <w:right w:val="none" w:sz="0" w:space="0" w:color="auto"/>
      </w:divBdr>
    </w:div>
    <w:div w:id="1552229471">
      <w:bodyDiv w:val="1"/>
      <w:marLeft w:val="0"/>
      <w:marRight w:val="0"/>
      <w:marTop w:val="0"/>
      <w:marBottom w:val="0"/>
      <w:divBdr>
        <w:top w:val="none" w:sz="0" w:space="0" w:color="auto"/>
        <w:left w:val="none" w:sz="0" w:space="0" w:color="auto"/>
        <w:bottom w:val="none" w:sz="0" w:space="0" w:color="auto"/>
        <w:right w:val="none" w:sz="0" w:space="0" w:color="auto"/>
      </w:divBdr>
    </w:div>
    <w:div w:id="1883470087">
      <w:bodyDiv w:val="1"/>
      <w:marLeft w:val="0"/>
      <w:marRight w:val="0"/>
      <w:marTop w:val="0"/>
      <w:marBottom w:val="0"/>
      <w:divBdr>
        <w:top w:val="none" w:sz="0" w:space="0" w:color="auto"/>
        <w:left w:val="none" w:sz="0" w:space="0" w:color="auto"/>
        <w:bottom w:val="none" w:sz="0" w:space="0" w:color="auto"/>
        <w:right w:val="none" w:sz="0" w:space="0" w:color="auto"/>
      </w:divBdr>
    </w:div>
    <w:div w:id="194584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ascha.uw.edu/publications/connecting-people-for-development/" TargetMode="External"/><Relationship Id="rId13" Type="http://schemas.openxmlformats.org/officeDocument/2006/relationships/hyperlink" Target="http://www.ifla.org/publications/node/9271?og=74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la.org/publications/node/106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la.org/publications/node/10328?og=740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fla.org/publications/node/10618" TargetMode="External"/><Relationship Id="rId4" Type="http://schemas.openxmlformats.org/officeDocument/2006/relationships/settings" Target="settings.xml"/><Relationship Id="rId9" Type="http://schemas.openxmlformats.org/officeDocument/2006/relationships/hyperlink" Target="http://www.globalimpactstudy.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gatesfoundation.org/What-We-Do/Global-Development/Global-Libraries/Access-to-Learning-Award-ATLA" TargetMode="External"/><Relationship Id="rId13" Type="http://schemas.openxmlformats.org/officeDocument/2006/relationships/hyperlink" Target="http://www.eifl.net/resources/kyrgyz-public-libraries-mobilize-hundreds-people-fight-tb" TargetMode="External"/><Relationship Id="rId18" Type="http://schemas.openxmlformats.org/officeDocument/2006/relationships/hyperlink" Target="http://eifl.net/eifl-in-action/empowering-women-and-girls-innovation-award-0" TargetMode="External"/><Relationship Id="rId26" Type="http://schemas.openxmlformats.org/officeDocument/2006/relationships/hyperlink" Target="http://giglibraries.net/page-1712342" TargetMode="External"/><Relationship Id="rId3" Type="http://schemas.openxmlformats.org/officeDocument/2006/relationships/hyperlink" Target="https://www.glatlas.org" TargetMode="External"/><Relationship Id="rId21" Type="http://schemas.openxmlformats.org/officeDocument/2006/relationships/hyperlink" Target="http://www.publiclibraries2020.eu/content/see-numbers" TargetMode="External"/><Relationship Id="rId7" Type="http://schemas.openxmlformats.org/officeDocument/2006/relationships/hyperlink" Target="http://eng.mklj.si/index.php/special-services/item/1140-the-employment-information-service" TargetMode="External"/><Relationship Id="rId12" Type="http://schemas.openxmlformats.org/officeDocument/2006/relationships/hyperlink" Target="https://www.alia.org.au/roispecials" TargetMode="External"/><Relationship Id="rId17" Type="http://schemas.openxmlformats.org/officeDocument/2006/relationships/hyperlink" Target="http://beyondaccess.net/wp-content/uploads/2013/07/Beyond-Access_Girl-sandICT-Issue-Brief.pdf" TargetMode="External"/><Relationship Id="rId25" Type="http://schemas.openxmlformats.org/officeDocument/2006/relationships/hyperlink" Target="http://www.eifl.net/eifl-in-action/improving-peoples-lives-innovation-award-0" TargetMode="External"/><Relationship Id="rId2" Type="http://schemas.openxmlformats.org/officeDocument/2006/relationships/hyperlink" Target="http://www.apc.org/en/blog/inside-information-society-how-digital-divide-has" TargetMode="External"/><Relationship Id="rId16" Type="http://schemas.openxmlformats.org/officeDocument/2006/relationships/hyperlink" Target="http://www.apc.org/en/blog/inside-information-society-how-digital-divide-has" TargetMode="External"/><Relationship Id="rId20" Type="http://schemas.openxmlformats.org/officeDocument/2006/relationships/hyperlink" Target="https://nycfuture.org/pdf/Branches_of_Opportunity.pdf" TargetMode="External"/><Relationship Id="rId1" Type="http://schemas.openxmlformats.org/officeDocument/2006/relationships/hyperlink" Target="http://www.itu.int/dms_pub/itu-s/oth/02/0B/S020B0000014E02PDFE.PDF" TargetMode="External"/><Relationship Id="rId6" Type="http://schemas.openxmlformats.org/officeDocument/2006/relationships/hyperlink" Target="http://www.ifla.org/publications/node/10546" TargetMode="External"/><Relationship Id="rId11" Type="http://schemas.openxmlformats.org/officeDocument/2006/relationships/hyperlink" Target="https://www.glatlas.org" TargetMode="External"/><Relationship Id="rId24" Type="http://schemas.openxmlformats.org/officeDocument/2006/relationships/hyperlink" Target="http://www.kis.gov.lv/download/Economic%20value%20and%20impact%20of%20public%20libraries%20in%20Latvia.pdf" TargetMode="External"/><Relationship Id="rId5" Type="http://schemas.openxmlformats.org/officeDocument/2006/relationships/hyperlink" Target="https://sustainabledevelopment.un.org/post2015/transformingourworld" TargetMode="External"/><Relationship Id="rId15" Type="http://schemas.openxmlformats.org/officeDocument/2006/relationships/hyperlink" Target="https://nycfuture.org/pdf/Branches_of_Opportunity.pdf" TargetMode="External"/><Relationship Id="rId23" Type="http://schemas.openxmlformats.org/officeDocument/2006/relationships/hyperlink" Target="http://a4ai.org/affordability-report/report/2015/" TargetMode="External"/><Relationship Id="rId10" Type="http://schemas.openxmlformats.org/officeDocument/2006/relationships/hyperlink" Target="http://www.eifl.net/eifl-in-action/solar-power-and-ict-connects-farmers-four-regions-uganda" TargetMode="External"/><Relationship Id="rId19" Type="http://schemas.openxmlformats.org/officeDocument/2006/relationships/hyperlink" Target="https://www.glatlas.org" TargetMode="External"/><Relationship Id="rId4" Type="http://schemas.openxmlformats.org/officeDocument/2006/relationships/hyperlink" Target="http://unctad.org/Sections/un_cstd/docs/cstd_wsis10_ifla_en.pdf" TargetMode="External"/><Relationship Id="rId9" Type="http://schemas.openxmlformats.org/officeDocument/2006/relationships/hyperlink" Target="https://www.irex.org/insight/creating-sustainable-impact-what-weve-learned-romanian-libraries" TargetMode="External"/><Relationship Id="rId14" Type="http://schemas.openxmlformats.org/officeDocument/2006/relationships/hyperlink" Target="http://library.ifla.org/258/1/201-radijeng-en.pdf" TargetMode="External"/><Relationship Id="rId22" Type="http://schemas.openxmlformats.org/officeDocument/2006/relationships/hyperlink" Target="http://www.eifl.net/eifl-in-action/3d-printing-project-turns-library-youth-makerspa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5885-3C63-45E2-B408-FBFBDA9A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2962</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Andersdotter</dc:creator>
  <cp:lastModifiedBy>Karolina Andersdotter</cp:lastModifiedBy>
  <cp:revision>5</cp:revision>
  <cp:lastPrinted>2016-08-11T08:10:00Z</cp:lastPrinted>
  <dcterms:created xsi:type="dcterms:W3CDTF">2016-08-11T08:09:00Z</dcterms:created>
  <dcterms:modified xsi:type="dcterms:W3CDTF">2016-08-11T08:56:00Z</dcterms:modified>
</cp:coreProperties>
</file>